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8BFBF">
      <w:pPr>
        <w:jc w:val="center"/>
        <w:rPr>
          <w:rFonts w:eastAsia="黑体"/>
          <w:b/>
          <w:snapToGrid w:val="0"/>
          <w:color w:val="000000"/>
          <w:kern w:val="0"/>
          <w:sz w:val="48"/>
          <w:szCs w:val="52"/>
        </w:rPr>
      </w:pPr>
    </w:p>
    <w:p w14:paraId="4E80B749">
      <w:pPr>
        <w:pStyle w:val="4"/>
        <w:rPr>
          <w:rFonts w:hint="eastAsia"/>
        </w:rPr>
      </w:pPr>
    </w:p>
    <w:p w14:paraId="2F445C51">
      <w:pPr>
        <w:jc w:val="center"/>
        <w:rPr>
          <w:snapToGrid w:val="0"/>
          <w:kern w:val="0"/>
          <w:sz w:val="28"/>
          <w:szCs w:val="28"/>
        </w:rPr>
      </w:pPr>
      <w:r>
        <w:rPr>
          <w:rFonts w:hint="eastAsia" w:eastAsia="黑体"/>
          <w:b/>
          <w:snapToGrid w:val="0"/>
          <w:color w:val="000000"/>
          <w:kern w:val="0"/>
          <w:sz w:val="48"/>
          <w:szCs w:val="52"/>
        </w:rPr>
        <w:t>安徽虹达道路桥梁工程有限公司</w:t>
      </w:r>
    </w:p>
    <w:p w14:paraId="6C9664C4">
      <w:pPr>
        <w:rPr>
          <w:snapToGrid w:val="0"/>
          <w:kern w:val="0"/>
          <w:sz w:val="28"/>
          <w:szCs w:val="28"/>
        </w:rPr>
      </w:pPr>
    </w:p>
    <w:p w14:paraId="60A4AF22">
      <w:pPr>
        <w:rPr>
          <w:snapToGrid w:val="0"/>
          <w:kern w:val="0"/>
          <w:sz w:val="28"/>
          <w:szCs w:val="28"/>
        </w:rPr>
      </w:pPr>
    </w:p>
    <w:p w14:paraId="28DF95FA">
      <w:pPr>
        <w:pStyle w:val="10"/>
        <w:rPr>
          <w:rFonts w:ascii="Times New Roman" w:hAnsi="Times New Roman"/>
          <w:snapToGrid w:val="0"/>
          <w:kern w:val="0"/>
          <w:sz w:val="28"/>
          <w:szCs w:val="28"/>
        </w:rPr>
      </w:pPr>
    </w:p>
    <w:p w14:paraId="24895D81">
      <w:pPr>
        <w:pStyle w:val="10"/>
        <w:rPr>
          <w:rFonts w:ascii="Times New Roman" w:hAnsi="Times New Roman"/>
          <w:snapToGrid w:val="0"/>
          <w:kern w:val="0"/>
          <w:sz w:val="28"/>
          <w:szCs w:val="28"/>
        </w:rPr>
      </w:pPr>
    </w:p>
    <w:p w14:paraId="44D4F4DB">
      <w:pPr>
        <w:spacing w:line="360" w:lineRule="auto"/>
        <w:jc w:val="center"/>
        <w:rPr>
          <w:rFonts w:eastAsia="黑体"/>
          <w:snapToGrid w:val="0"/>
          <w:color w:val="000000"/>
          <w:kern w:val="0"/>
          <w:sz w:val="36"/>
          <w:szCs w:val="32"/>
          <w:u w:val="single"/>
        </w:rPr>
      </w:pPr>
      <w:r>
        <w:rPr>
          <w:rFonts w:hint="eastAsia" w:eastAsia="黑体"/>
          <w:sz w:val="36"/>
          <w:szCs w:val="44"/>
          <w:u w:val="single"/>
        </w:rPr>
        <w:t>合肥经开区排水设施排查整治完善工程一期-桃枝路泵站片区排水提标改造及入河排口治理工程-土石方工程分包</w:t>
      </w:r>
    </w:p>
    <w:p w14:paraId="38C24AFA">
      <w:pPr>
        <w:rPr>
          <w:snapToGrid w:val="0"/>
          <w:kern w:val="0"/>
          <w:sz w:val="32"/>
          <w:szCs w:val="32"/>
        </w:rPr>
      </w:pPr>
    </w:p>
    <w:p w14:paraId="10C3355C">
      <w:pPr>
        <w:pStyle w:val="4"/>
        <w:rPr>
          <w:rFonts w:hint="eastAsia"/>
        </w:rPr>
      </w:pPr>
    </w:p>
    <w:p w14:paraId="2BE2CA6A">
      <w:pPr>
        <w:rPr>
          <w:snapToGrid w:val="0"/>
          <w:kern w:val="0"/>
          <w:sz w:val="32"/>
          <w:szCs w:val="32"/>
        </w:rPr>
      </w:pPr>
    </w:p>
    <w:p w14:paraId="367BFCA1">
      <w:pPr>
        <w:rPr>
          <w:snapToGrid w:val="0"/>
          <w:kern w:val="0"/>
          <w:sz w:val="32"/>
          <w:szCs w:val="32"/>
        </w:rPr>
      </w:pPr>
    </w:p>
    <w:p w14:paraId="4D978833">
      <w:pPr>
        <w:jc w:val="center"/>
        <w:rPr>
          <w:rFonts w:eastAsia="黑体"/>
          <w:snapToGrid w:val="0"/>
          <w:kern w:val="0"/>
          <w:sz w:val="52"/>
          <w:szCs w:val="52"/>
        </w:rPr>
      </w:pPr>
      <w:r>
        <w:rPr>
          <w:rFonts w:eastAsia="黑体"/>
          <w:snapToGrid w:val="0"/>
          <w:color w:val="000000"/>
          <w:kern w:val="0"/>
          <w:sz w:val="52"/>
          <w:szCs w:val="52"/>
        </w:rPr>
        <w:t>招  标  文  件</w:t>
      </w:r>
    </w:p>
    <w:p w14:paraId="4950F2F4">
      <w:pPr>
        <w:rPr>
          <w:rFonts w:eastAsia="黑体"/>
          <w:snapToGrid w:val="0"/>
          <w:color w:val="000000"/>
          <w:kern w:val="0"/>
          <w:sz w:val="52"/>
          <w:szCs w:val="52"/>
        </w:rPr>
      </w:pPr>
    </w:p>
    <w:p w14:paraId="41856018">
      <w:pPr>
        <w:rPr>
          <w:rFonts w:eastAsia="黑体"/>
          <w:snapToGrid w:val="0"/>
          <w:color w:val="000000"/>
          <w:kern w:val="0"/>
          <w:sz w:val="52"/>
          <w:szCs w:val="52"/>
        </w:rPr>
      </w:pPr>
    </w:p>
    <w:p w14:paraId="34C45050">
      <w:pPr>
        <w:rPr>
          <w:rFonts w:eastAsia="黑体"/>
          <w:snapToGrid w:val="0"/>
          <w:color w:val="000000"/>
          <w:kern w:val="0"/>
          <w:sz w:val="52"/>
          <w:szCs w:val="52"/>
        </w:rPr>
      </w:pPr>
    </w:p>
    <w:p w14:paraId="6A49CD80">
      <w:pPr>
        <w:rPr>
          <w:rFonts w:eastAsia="黑体"/>
          <w:snapToGrid w:val="0"/>
          <w:color w:val="000000"/>
          <w:kern w:val="0"/>
          <w:sz w:val="52"/>
          <w:szCs w:val="52"/>
        </w:rPr>
      </w:pPr>
    </w:p>
    <w:p w14:paraId="2C5D896F">
      <w:pPr>
        <w:rPr>
          <w:rFonts w:eastAsia="黑体"/>
          <w:snapToGrid w:val="0"/>
          <w:color w:val="000000"/>
          <w:kern w:val="0"/>
          <w:sz w:val="52"/>
          <w:szCs w:val="52"/>
        </w:rPr>
      </w:pPr>
    </w:p>
    <w:p w14:paraId="1B6E2A50">
      <w:pPr>
        <w:rPr>
          <w:rFonts w:eastAsia="黑体"/>
          <w:snapToGrid w:val="0"/>
          <w:color w:val="000000"/>
          <w:kern w:val="0"/>
          <w:sz w:val="52"/>
          <w:szCs w:val="52"/>
        </w:rPr>
      </w:pPr>
    </w:p>
    <w:p w14:paraId="6C5A015F">
      <w:pPr>
        <w:jc w:val="center"/>
        <w:rPr>
          <w:rFonts w:eastAsia="黑体"/>
          <w:snapToGrid w:val="0"/>
          <w:color w:val="000000"/>
          <w:kern w:val="0"/>
          <w:sz w:val="32"/>
          <w:szCs w:val="32"/>
        </w:rPr>
      </w:pPr>
      <w:r>
        <w:rPr>
          <w:rFonts w:eastAsia="黑体"/>
          <w:snapToGrid w:val="0"/>
          <w:color w:val="000000"/>
          <w:kern w:val="0"/>
          <w:sz w:val="32"/>
          <w:szCs w:val="32"/>
        </w:rPr>
        <w:t>招标人：</w:t>
      </w:r>
      <w:r>
        <w:rPr>
          <w:rFonts w:eastAsia="黑体"/>
          <w:snapToGrid w:val="0"/>
          <w:color w:val="000000"/>
          <w:kern w:val="0"/>
          <w:sz w:val="32"/>
          <w:szCs w:val="32"/>
          <w:u w:val="single"/>
        </w:rPr>
        <w:t xml:space="preserve">   </w:t>
      </w:r>
      <w:r>
        <w:rPr>
          <w:rFonts w:hint="eastAsia" w:eastAsia="黑体"/>
          <w:snapToGrid w:val="0"/>
          <w:color w:val="000000"/>
          <w:kern w:val="0"/>
          <w:sz w:val="32"/>
          <w:szCs w:val="32"/>
          <w:u w:val="single"/>
        </w:rPr>
        <w:t>安徽虹达道路桥梁工程有限公司</w:t>
      </w:r>
      <w:r>
        <w:rPr>
          <w:rFonts w:eastAsia="黑体"/>
          <w:snapToGrid w:val="0"/>
          <w:color w:val="000000"/>
          <w:kern w:val="0"/>
          <w:sz w:val="32"/>
          <w:szCs w:val="32"/>
          <w:u w:val="single"/>
        </w:rPr>
        <w:t xml:space="preserve">  </w:t>
      </w:r>
      <w:r>
        <w:rPr>
          <w:rFonts w:eastAsia="黑体"/>
          <w:snapToGrid w:val="0"/>
          <w:color w:val="000000"/>
          <w:kern w:val="0"/>
          <w:sz w:val="32"/>
          <w:szCs w:val="32"/>
        </w:rPr>
        <w:t>（盖单位章）</w:t>
      </w:r>
    </w:p>
    <w:p w14:paraId="53F39032">
      <w:pPr>
        <w:jc w:val="center"/>
        <w:rPr>
          <w:rFonts w:eastAsia="黑体"/>
          <w:snapToGrid w:val="0"/>
          <w:kern w:val="0"/>
          <w:sz w:val="32"/>
          <w:szCs w:val="32"/>
        </w:rPr>
      </w:pPr>
    </w:p>
    <w:p w14:paraId="41EFC394">
      <w:pPr>
        <w:jc w:val="center"/>
        <w:rPr>
          <w:snapToGrid w:val="0"/>
          <w:color w:val="000000"/>
          <w:kern w:val="0"/>
          <w:sz w:val="32"/>
          <w:szCs w:val="32"/>
        </w:rPr>
      </w:pPr>
    </w:p>
    <w:p w14:paraId="262ED072">
      <w:pPr>
        <w:jc w:val="center"/>
        <w:rPr>
          <w:rFonts w:eastAsia="黑体"/>
          <w:snapToGrid w:val="0"/>
          <w:color w:val="000000"/>
          <w:kern w:val="0"/>
          <w:sz w:val="32"/>
          <w:szCs w:val="32"/>
        </w:rPr>
      </w:pPr>
      <w:r>
        <w:rPr>
          <w:rFonts w:eastAsia="黑体"/>
          <w:snapToGrid w:val="0"/>
          <w:color w:val="000000"/>
          <w:kern w:val="0"/>
          <w:sz w:val="32"/>
          <w:szCs w:val="32"/>
          <w:u w:val="single"/>
        </w:rPr>
        <w:t xml:space="preserve">   </w:t>
      </w:r>
      <w:r>
        <w:rPr>
          <w:rFonts w:hint="eastAsia" w:eastAsia="黑体"/>
          <w:snapToGrid w:val="0"/>
          <w:color w:val="000000"/>
          <w:kern w:val="0"/>
          <w:sz w:val="32"/>
          <w:szCs w:val="32"/>
          <w:u w:val="single"/>
        </w:rPr>
        <w:t>2026</w:t>
      </w:r>
      <w:r>
        <w:rPr>
          <w:rFonts w:eastAsia="黑体"/>
          <w:snapToGrid w:val="0"/>
          <w:color w:val="000000"/>
          <w:kern w:val="0"/>
          <w:sz w:val="32"/>
          <w:szCs w:val="32"/>
          <w:u w:val="single"/>
        </w:rPr>
        <w:t xml:space="preserve">   </w:t>
      </w:r>
      <w:r>
        <w:rPr>
          <w:rFonts w:eastAsia="黑体"/>
          <w:snapToGrid w:val="0"/>
          <w:color w:val="000000"/>
          <w:kern w:val="0"/>
          <w:sz w:val="32"/>
          <w:szCs w:val="32"/>
        </w:rPr>
        <w:t>年</w:t>
      </w:r>
      <w:r>
        <w:rPr>
          <w:rFonts w:eastAsia="黑体"/>
          <w:snapToGrid w:val="0"/>
          <w:color w:val="000000"/>
          <w:kern w:val="0"/>
          <w:sz w:val="32"/>
          <w:szCs w:val="32"/>
          <w:u w:val="single"/>
        </w:rPr>
        <w:t xml:space="preserve">   </w:t>
      </w:r>
      <w:r>
        <w:rPr>
          <w:rFonts w:hint="eastAsia" w:eastAsia="黑体"/>
          <w:snapToGrid w:val="0"/>
          <w:color w:val="000000"/>
          <w:kern w:val="0"/>
          <w:sz w:val="32"/>
          <w:szCs w:val="32"/>
          <w:u w:val="single"/>
        </w:rPr>
        <w:t>4</w:t>
      </w:r>
      <w:r>
        <w:rPr>
          <w:rFonts w:eastAsia="黑体"/>
          <w:snapToGrid w:val="0"/>
          <w:color w:val="000000"/>
          <w:kern w:val="0"/>
          <w:sz w:val="32"/>
          <w:szCs w:val="32"/>
          <w:u w:val="single"/>
        </w:rPr>
        <w:t xml:space="preserve">   </w:t>
      </w:r>
      <w:r>
        <w:rPr>
          <w:rFonts w:eastAsia="黑体"/>
          <w:snapToGrid w:val="0"/>
          <w:color w:val="000000"/>
          <w:kern w:val="0"/>
          <w:sz w:val="32"/>
          <w:szCs w:val="32"/>
        </w:rPr>
        <w:t>月</w:t>
      </w:r>
    </w:p>
    <w:p w14:paraId="6CFF6A6C">
      <w:pPr>
        <w:rPr>
          <w:rFonts w:eastAsia="黑体"/>
          <w:snapToGrid w:val="0"/>
          <w:kern w:val="0"/>
          <w:sz w:val="28"/>
          <w:szCs w:val="28"/>
          <w:shd w:val="clear" w:color="auto" w:fill="FFFFFF"/>
          <w:lang w:val="zh-CN"/>
        </w:rPr>
      </w:pPr>
    </w:p>
    <w:p w14:paraId="1DA2963D">
      <w:pPr>
        <w:rPr>
          <w:snapToGrid w:val="0"/>
          <w:kern w:val="0"/>
          <w:sz w:val="26"/>
          <w:szCs w:val="26"/>
        </w:rPr>
        <w:sectPr>
          <w:footerReference r:id="rId3" w:type="default"/>
          <w:footnotePr>
            <w:numFmt w:val="decimalEnclosedCircleChinese"/>
            <w:numRestart w:val="eachPage"/>
          </w:footnotePr>
          <w:pgSz w:w="11900" w:h="16840"/>
          <w:pgMar w:top="1440" w:right="1800" w:bottom="1440" w:left="1800" w:header="851" w:footer="992" w:gutter="0"/>
          <w:pgNumType w:fmt="numberInDash" w:start="1"/>
          <w:cols w:space="720" w:num="1"/>
          <w:docGrid w:linePitch="312" w:charSpace="0"/>
        </w:sectPr>
      </w:pPr>
    </w:p>
    <w:p w14:paraId="016A764F">
      <w:pPr>
        <w:jc w:val="center"/>
        <w:rPr>
          <w:rFonts w:eastAsia="黑体"/>
          <w:snapToGrid w:val="0"/>
          <w:kern w:val="0"/>
          <w:sz w:val="48"/>
          <w:szCs w:val="26"/>
        </w:rPr>
      </w:pPr>
      <w:r>
        <w:rPr>
          <w:rFonts w:eastAsia="黑体"/>
          <w:snapToGrid w:val="0"/>
          <w:kern w:val="0"/>
          <w:sz w:val="48"/>
          <w:szCs w:val="26"/>
        </w:rPr>
        <w:t>目  录</w:t>
      </w:r>
    </w:p>
    <w:p w14:paraId="6C496780"/>
    <w:p w14:paraId="5714792F">
      <w:pPr>
        <w:pStyle w:val="13"/>
        <w:tabs>
          <w:tab w:val="right" w:leader="dot" w:pos="8306"/>
          <w:tab w:val="clear" w:pos="8296"/>
        </w:tabs>
      </w:pPr>
      <w:r>
        <w:fldChar w:fldCharType="begin"/>
      </w:r>
      <w:r>
        <w:instrText xml:space="preserve">TOC \o "1-3" \h \u </w:instrText>
      </w:r>
      <w:r>
        <w:fldChar w:fldCharType="separate"/>
      </w:r>
      <w:r>
        <w:fldChar w:fldCharType="begin"/>
      </w:r>
      <w:r>
        <w:instrText xml:space="preserve"> HYPERLINK \l "_Toc30794" </w:instrText>
      </w:r>
      <w:r>
        <w:fldChar w:fldCharType="separate"/>
      </w:r>
      <w:r>
        <w:rPr>
          <w:rFonts w:eastAsia="黑体"/>
          <w:bCs w:val="0"/>
          <w:snapToGrid w:val="0"/>
          <w:kern w:val="44"/>
          <w:szCs w:val="42"/>
          <w:lang w:val="zh-CN"/>
        </w:rPr>
        <w:t>第一章 招标公告</w:t>
      </w:r>
      <w:r>
        <w:tab/>
      </w:r>
      <w:r>
        <w:fldChar w:fldCharType="begin"/>
      </w:r>
      <w:r>
        <w:instrText xml:space="preserve"> PAGEREF _Toc30794 \h </w:instrText>
      </w:r>
      <w:r>
        <w:fldChar w:fldCharType="separate"/>
      </w:r>
      <w:r>
        <w:t>3</w:t>
      </w:r>
      <w:r>
        <w:fldChar w:fldCharType="end"/>
      </w:r>
      <w:r>
        <w:fldChar w:fldCharType="end"/>
      </w:r>
    </w:p>
    <w:p w14:paraId="4779E3CE">
      <w:pPr>
        <w:pStyle w:val="13"/>
        <w:tabs>
          <w:tab w:val="right" w:leader="dot" w:pos="8306"/>
          <w:tab w:val="clear" w:pos="8296"/>
        </w:tabs>
      </w:pPr>
      <w:r>
        <w:fldChar w:fldCharType="begin"/>
      </w:r>
      <w:r>
        <w:instrText xml:space="preserve"> HYPERLINK \l "_Toc7205" </w:instrText>
      </w:r>
      <w:r>
        <w:fldChar w:fldCharType="separate"/>
      </w:r>
      <w:r>
        <w:rPr>
          <w:rFonts w:hint="eastAsia" w:eastAsia="黑体"/>
          <w:bCs w:val="0"/>
          <w:snapToGrid w:val="0"/>
          <w:kern w:val="44"/>
          <w:szCs w:val="42"/>
          <w:lang w:val="zh-CN"/>
        </w:rPr>
        <w:t>第二章</w:t>
      </w:r>
      <w:r>
        <w:rPr>
          <w:rFonts w:eastAsia="黑体"/>
          <w:bCs w:val="0"/>
          <w:snapToGrid w:val="0"/>
          <w:kern w:val="44"/>
          <w:szCs w:val="42"/>
          <w:lang w:val="zh-CN"/>
        </w:rPr>
        <w:t xml:space="preserve"> </w:t>
      </w:r>
      <w:r>
        <w:rPr>
          <w:rFonts w:hint="eastAsia" w:eastAsia="黑体"/>
          <w:bCs w:val="0"/>
          <w:snapToGrid w:val="0"/>
          <w:kern w:val="44"/>
          <w:szCs w:val="42"/>
          <w:lang w:val="zh-CN"/>
        </w:rPr>
        <w:t>投标人须知</w:t>
      </w:r>
      <w:r>
        <w:tab/>
      </w:r>
      <w:r>
        <w:fldChar w:fldCharType="begin"/>
      </w:r>
      <w:r>
        <w:instrText xml:space="preserve"> PAGEREF _Toc7205 \h </w:instrText>
      </w:r>
      <w:r>
        <w:fldChar w:fldCharType="separate"/>
      </w:r>
      <w:r>
        <w:t>5</w:t>
      </w:r>
      <w:r>
        <w:fldChar w:fldCharType="end"/>
      </w:r>
      <w:r>
        <w:fldChar w:fldCharType="end"/>
      </w:r>
    </w:p>
    <w:p w14:paraId="2A25269C">
      <w:pPr>
        <w:pStyle w:val="13"/>
        <w:tabs>
          <w:tab w:val="right" w:leader="dot" w:pos="8306"/>
          <w:tab w:val="clear" w:pos="8296"/>
        </w:tabs>
      </w:pPr>
      <w:r>
        <w:fldChar w:fldCharType="begin"/>
      </w:r>
      <w:r>
        <w:instrText xml:space="preserve"> HYPERLINK \l "_Toc12025" </w:instrText>
      </w:r>
      <w:r>
        <w:fldChar w:fldCharType="separate"/>
      </w:r>
      <w:r>
        <w:rPr>
          <w:rFonts w:eastAsia="黑体"/>
          <w:bCs w:val="0"/>
          <w:snapToGrid w:val="0"/>
          <w:kern w:val="44"/>
          <w:szCs w:val="42"/>
          <w:lang w:val="zh-CN"/>
        </w:rPr>
        <w:t>第三章</w:t>
      </w:r>
      <w:r>
        <w:rPr>
          <w:rFonts w:hint="eastAsia" w:eastAsia="黑体"/>
          <w:bCs w:val="0"/>
          <w:snapToGrid w:val="0"/>
          <w:kern w:val="44"/>
          <w:szCs w:val="42"/>
          <w:lang w:val="zh-CN"/>
        </w:rPr>
        <w:t xml:space="preserve"> </w:t>
      </w:r>
      <w:r>
        <w:rPr>
          <w:rFonts w:eastAsia="黑体"/>
          <w:bCs w:val="0"/>
          <w:snapToGrid w:val="0"/>
          <w:kern w:val="44"/>
          <w:szCs w:val="42"/>
          <w:lang w:val="zh-CN"/>
        </w:rPr>
        <w:t xml:space="preserve">评标办法 </w:t>
      </w:r>
      <w:r>
        <w:tab/>
      </w:r>
      <w:r>
        <w:fldChar w:fldCharType="begin"/>
      </w:r>
      <w:r>
        <w:instrText xml:space="preserve"> PAGEREF _Toc12025 \h </w:instrText>
      </w:r>
      <w:r>
        <w:fldChar w:fldCharType="separate"/>
      </w:r>
      <w:r>
        <w:t>22</w:t>
      </w:r>
      <w:r>
        <w:fldChar w:fldCharType="end"/>
      </w:r>
      <w:r>
        <w:fldChar w:fldCharType="end"/>
      </w:r>
    </w:p>
    <w:p w14:paraId="6E47012A">
      <w:pPr>
        <w:pStyle w:val="13"/>
        <w:tabs>
          <w:tab w:val="right" w:leader="dot" w:pos="8306"/>
          <w:tab w:val="clear" w:pos="8296"/>
        </w:tabs>
      </w:pPr>
      <w:r>
        <w:fldChar w:fldCharType="begin"/>
      </w:r>
      <w:r>
        <w:instrText xml:space="preserve"> HYPERLINK \l "_Toc25930" </w:instrText>
      </w:r>
      <w:r>
        <w:fldChar w:fldCharType="separate"/>
      </w:r>
      <w:r>
        <w:rPr>
          <w:rFonts w:eastAsia="黑体"/>
          <w:bCs w:val="0"/>
          <w:snapToGrid w:val="0"/>
          <w:kern w:val="44"/>
          <w:szCs w:val="42"/>
          <w:lang w:val="zh-CN"/>
        </w:rPr>
        <w:t>第四章</w:t>
      </w:r>
      <w:r>
        <w:rPr>
          <w:rFonts w:hint="eastAsia" w:eastAsia="黑体"/>
          <w:bCs w:val="0"/>
          <w:snapToGrid w:val="0"/>
          <w:kern w:val="44"/>
          <w:szCs w:val="42"/>
          <w:lang w:val="zh-CN"/>
        </w:rPr>
        <w:t xml:space="preserve"> </w:t>
      </w:r>
      <w:r>
        <w:rPr>
          <w:rFonts w:eastAsia="黑体"/>
          <w:bCs w:val="0"/>
          <w:snapToGrid w:val="0"/>
          <w:kern w:val="44"/>
          <w:szCs w:val="42"/>
          <w:lang w:val="zh-CN"/>
        </w:rPr>
        <w:t>合同条款及格式</w:t>
      </w:r>
      <w:r>
        <w:tab/>
      </w:r>
      <w:r>
        <w:fldChar w:fldCharType="begin"/>
      </w:r>
      <w:r>
        <w:instrText xml:space="preserve"> PAGEREF _Toc25930 \h </w:instrText>
      </w:r>
      <w:r>
        <w:fldChar w:fldCharType="separate"/>
      </w:r>
      <w:r>
        <w:t>30</w:t>
      </w:r>
      <w:r>
        <w:fldChar w:fldCharType="end"/>
      </w:r>
      <w:r>
        <w:fldChar w:fldCharType="end"/>
      </w:r>
    </w:p>
    <w:p w14:paraId="3504A7F0">
      <w:pPr>
        <w:pStyle w:val="13"/>
        <w:tabs>
          <w:tab w:val="right" w:leader="dot" w:pos="8306"/>
          <w:tab w:val="clear" w:pos="8296"/>
        </w:tabs>
        <w:rPr>
          <w:rFonts w:hint="eastAsia" w:ascii="黑体" w:hAnsi="黑体" w:eastAsia="黑体" w:cs="黑体"/>
        </w:rPr>
      </w:pPr>
      <w:r>
        <w:fldChar w:fldCharType="begin"/>
      </w:r>
      <w:r>
        <w:instrText xml:space="preserve"> HYPERLINK \l "_Toc25603" </w:instrText>
      </w:r>
      <w:r>
        <w:fldChar w:fldCharType="separate"/>
      </w:r>
      <w:r>
        <w:rPr>
          <w:rFonts w:hint="eastAsia" w:ascii="黑体" w:hAnsi="黑体" w:eastAsia="黑体" w:cs="黑体"/>
          <w:lang w:val="zh-CN"/>
        </w:rPr>
        <w:t>第五章 计价依据及工程造价确认</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_Toc25603 \h </w:instrText>
      </w:r>
      <w:r>
        <w:rPr>
          <w:rFonts w:hint="eastAsia" w:ascii="黑体" w:hAnsi="黑体" w:eastAsia="黑体" w:cs="黑体"/>
        </w:rPr>
        <w:fldChar w:fldCharType="separate"/>
      </w:r>
      <w:r>
        <w:rPr>
          <w:rFonts w:hint="eastAsia" w:ascii="黑体" w:hAnsi="黑体" w:eastAsia="黑体" w:cs="黑体"/>
        </w:rPr>
        <w:t>46</w:t>
      </w:r>
      <w:r>
        <w:rPr>
          <w:rFonts w:hint="eastAsia" w:ascii="黑体" w:hAnsi="黑体" w:eastAsia="黑体" w:cs="黑体"/>
        </w:rPr>
        <w:fldChar w:fldCharType="end"/>
      </w:r>
      <w:r>
        <w:rPr>
          <w:rFonts w:hint="eastAsia" w:ascii="黑体" w:hAnsi="黑体" w:eastAsia="黑体" w:cs="黑体"/>
        </w:rPr>
        <w:fldChar w:fldCharType="end"/>
      </w:r>
    </w:p>
    <w:p w14:paraId="0EAB6973">
      <w:pPr>
        <w:pStyle w:val="13"/>
        <w:tabs>
          <w:tab w:val="right" w:leader="dot" w:pos="8306"/>
          <w:tab w:val="clear" w:pos="8296"/>
        </w:tabs>
        <w:rPr>
          <w:rFonts w:hint="eastAsia" w:ascii="黑体" w:hAnsi="黑体" w:eastAsia="黑体" w:cs="黑体"/>
        </w:rPr>
      </w:pPr>
      <w:r>
        <w:fldChar w:fldCharType="begin"/>
      </w:r>
      <w:r>
        <w:instrText xml:space="preserve"> HYPERLINK \l "_Toc23307" </w:instrText>
      </w:r>
      <w:r>
        <w:fldChar w:fldCharType="separate"/>
      </w:r>
      <w:r>
        <w:rPr>
          <w:rFonts w:hint="eastAsia" w:ascii="黑体" w:hAnsi="黑体" w:eastAsia="黑体" w:cs="黑体"/>
          <w:lang w:val="zh-CN"/>
        </w:rPr>
        <w:t>第六章 工程量清单及图纸</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_Toc23307 \h </w:instrText>
      </w:r>
      <w:r>
        <w:rPr>
          <w:rFonts w:hint="eastAsia" w:ascii="黑体" w:hAnsi="黑体" w:eastAsia="黑体" w:cs="黑体"/>
        </w:rPr>
        <w:fldChar w:fldCharType="separate"/>
      </w:r>
      <w:r>
        <w:rPr>
          <w:rFonts w:hint="eastAsia" w:ascii="黑体" w:hAnsi="黑体" w:eastAsia="黑体" w:cs="黑体"/>
        </w:rPr>
        <w:t>50</w:t>
      </w:r>
      <w:r>
        <w:rPr>
          <w:rFonts w:hint="eastAsia" w:ascii="黑体" w:hAnsi="黑体" w:eastAsia="黑体" w:cs="黑体"/>
        </w:rPr>
        <w:fldChar w:fldCharType="end"/>
      </w:r>
      <w:r>
        <w:rPr>
          <w:rFonts w:hint="eastAsia" w:ascii="黑体" w:hAnsi="黑体" w:eastAsia="黑体" w:cs="黑体"/>
        </w:rPr>
        <w:fldChar w:fldCharType="end"/>
      </w:r>
    </w:p>
    <w:p w14:paraId="60F90A49">
      <w:pPr>
        <w:pStyle w:val="13"/>
        <w:tabs>
          <w:tab w:val="right" w:leader="dot" w:pos="8306"/>
          <w:tab w:val="clear" w:pos="8296"/>
        </w:tabs>
        <w:rPr>
          <w:rFonts w:hint="eastAsia" w:ascii="黑体" w:hAnsi="黑体" w:eastAsia="黑体" w:cs="黑体"/>
        </w:rPr>
      </w:pPr>
      <w:r>
        <w:fldChar w:fldCharType="begin"/>
      </w:r>
      <w:r>
        <w:instrText xml:space="preserve"> HYPERLINK \l "_Toc19345" </w:instrText>
      </w:r>
      <w:r>
        <w:fldChar w:fldCharType="separate"/>
      </w:r>
      <w:r>
        <w:rPr>
          <w:rFonts w:hint="eastAsia" w:ascii="黑体" w:hAnsi="黑体" w:eastAsia="黑体" w:cs="黑体"/>
          <w:lang w:val="zh-CN"/>
        </w:rPr>
        <w:t>第</w:t>
      </w:r>
      <w:r>
        <w:rPr>
          <w:rFonts w:hint="eastAsia" w:ascii="黑体" w:hAnsi="黑体" w:eastAsia="黑体" w:cs="黑体"/>
        </w:rPr>
        <w:t>七</w:t>
      </w:r>
      <w:r>
        <w:rPr>
          <w:rFonts w:hint="eastAsia" w:ascii="黑体" w:hAnsi="黑体" w:eastAsia="黑体" w:cs="黑体"/>
          <w:lang w:val="zh-CN"/>
        </w:rPr>
        <w:t>章 投标文件格式</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_Toc19345 \h </w:instrText>
      </w:r>
      <w:r>
        <w:rPr>
          <w:rFonts w:hint="eastAsia" w:ascii="黑体" w:hAnsi="黑体" w:eastAsia="黑体" w:cs="黑体"/>
        </w:rPr>
        <w:fldChar w:fldCharType="separate"/>
      </w:r>
      <w:r>
        <w:rPr>
          <w:rFonts w:hint="eastAsia" w:ascii="黑体" w:hAnsi="黑体" w:eastAsia="黑体" w:cs="黑体"/>
        </w:rPr>
        <w:t>51</w:t>
      </w:r>
      <w:r>
        <w:rPr>
          <w:rFonts w:hint="eastAsia" w:ascii="黑体" w:hAnsi="黑体" w:eastAsia="黑体" w:cs="黑体"/>
        </w:rPr>
        <w:fldChar w:fldCharType="end"/>
      </w:r>
      <w:r>
        <w:rPr>
          <w:rFonts w:hint="eastAsia" w:ascii="黑体" w:hAnsi="黑体" w:eastAsia="黑体" w:cs="黑体"/>
        </w:rPr>
        <w:fldChar w:fldCharType="end"/>
      </w:r>
    </w:p>
    <w:p w14:paraId="4D0C847C">
      <w:pPr>
        <w:pStyle w:val="13"/>
        <w:tabs>
          <w:tab w:val="right" w:leader="dot" w:pos="8306"/>
          <w:tab w:val="clear" w:pos="8296"/>
        </w:tabs>
        <w:jc w:val="both"/>
      </w:pPr>
      <w:r>
        <w:fldChar w:fldCharType="end"/>
      </w:r>
    </w:p>
    <w:p w14:paraId="74436D73">
      <w:pPr>
        <w:pStyle w:val="21"/>
        <w:keepNext/>
        <w:keepLines/>
        <w:shd w:val="clear" w:color="auto" w:fill="auto"/>
        <w:spacing w:after="586" w:line="240" w:lineRule="auto"/>
        <w:ind w:left="20"/>
        <w:outlineLvl w:val="0"/>
        <w:rPr>
          <w:rFonts w:ascii="Times New Roman" w:eastAsia="黑体"/>
          <w:bCs w:val="0"/>
          <w:snapToGrid w:val="0"/>
          <w:color w:val="000000"/>
          <w:kern w:val="44"/>
          <w:sz w:val="44"/>
          <w:szCs w:val="42"/>
          <w:lang w:val="zh-CN"/>
        </w:rPr>
      </w:pPr>
      <w:r>
        <w:rPr>
          <w:rFonts w:ascii="Times New Roman" w:eastAsia="黑体"/>
          <w:bCs w:val="0"/>
          <w:snapToGrid w:val="0"/>
          <w:color w:val="000000"/>
          <w:kern w:val="44"/>
          <w:sz w:val="44"/>
          <w:szCs w:val="42"/>
          <w:lang w:val="zh-CN"/>
        </w:rPr>
        <w:br w:type="page"/>
      </w:r>
      <w:bookmarkStart w:id="0" w:name="_Toc30794"/>
      <w:r>
        <w:rPr>
          <w:rFonts w:ascii="Times New Roman" w:eastAsia="黑体"/>
          <w:bCs w:val="0"/>
          <w:snapToGrid w:val="0"/>
          <w:color w:val="000000"/>
          <w:kern w:val="44"/>
          <w:sz w:val="44"/>
          <w:szCs w:val="42"/>
          <w:lang w:val="zh-CN"/>
        </w:rPr>
        <w:t>第一章 招标公告</w:t>
      </w:r>
      <w:bookmarkEnd w:id="0"/>
      <w:bookmarkStart w:id="1" w:name="bookmark8"/>
    </w:p>
    <w:p w14:paraId="59CABDE7">
      <w:pPr>
        <w:pStyle w:val="3"/>
        <w:spacing w:line="360" w:lineRule="auto"/>
        <w:rPr>
          <w:rFonts w:ascii="Times New Roman" w:hAnsi="Times New Roman" w:eastAsia="黑体"/>
          <w:snapToGrid w:val="0"/>
          <w:sz w:val="24"/>
          <w:szCs w:val="24"/>
          <w:shd w:val="clear" w:color="auto" w:fill="FFFFFF"/>
          <w:lang w:val="zh-CN"/>
        </w:rPr>
      </w:pPr>
      <w:bookmarkStart w:id="2" w:name="_Toc17504"/>
      <w:bookmarkStart w:id="3" w:name="_Toc3171"/>
      <w:bookmarkStart w:id="4" w:name="_Toc11187"/>
      <w:bookmarkStart w:id="5" w:name="_Toc36119704"/>
      <w:bookmarkStart w:id="6" w:name="_Toc18018"/>
      <w:bookmarkStart w:id="7" w:name="_Toc26265"/>
      <w:bookmarkStart w:id="8" w:name="_Toc15558"/>
      <w:bookmarkStart w:id="9" w:name="_Toc7888"/>
      <w:r>
        <w:rPr>
          <w:rFonts w:ascii="Times New Roman" w:hAnsi="Times New Roman" w:eastAsia="黑体"/>
          <w:snapToGrid w:val="0"/>
          <w:sz w:val="24"/>
          <w:szCs w:val="24"/>
          <w:shd w:val="clear" w:color="auto" w:fill="FFFFFF"/>
          <w:lang w:val="zh-CN"/>
        </w:rPr>
        <w:t>1.</w:t>
      </w:r>
      <w:r>
        <w:rPr>
          <w:rFonts w:hint="eastAsia" w:ascii="Times New Roman" w:hAnsi="Times New Roman" w:eastAsia="黑体"/>
          <w:snapToGrid w:val="0"/>
          <w:sz w:val="24"/>
          <w:szCs w:val="24"/>
          <w:shd w:val="clear" w:color="auto" w:fill="FFFFFF"/>
          <w:lang w:val="zh-CN"/>
        </w:rPr>
        <w:t xml:space="preserve"> </w:t>
      </w:r>
      <w:r>
        <w:rPr>
          <w:rFonts w:ascii="Times New Roman" w:hAnsi="Times New Roman" w:eastAsia="黑体"/>
          <w:snapToGrid w:val="0"/>
          <w:sz w:val="24"/>
          <w:szCs w:val="24"/>
          <w:shd w:val="clear" w:color="auto" w:fill="FFFFFF"/>
          <w:lang w:val="zh-CN"/>
        </w:rPr>
        <w:t>招标条件</w:t>
      </w:r>
      <w:bookmarkEnd w:id="1"/>
      <w:bookmarkEnd w:id="2"/>
      <w:bookmarkEnd w:id="3"/>
      <w:bookmarkEnd w:id="4"/>
      <w:bookmarkEnd w:id="5"/>
      <w:bookmarkEnd w:id="6"/>
      <w:bookmarkEnd w:id="7"/>
      <w:bookmarkEnd w:id="8"/>
      <w:bookmarkEnd w:id="9"/>
    </w:p>
    <w:p w14:paraId="51E41AC3">
      <w:pPr>
        <w:spacing w:line="360" w:lineRule="auto"/>
        <w:ind w:firstLine="420" w:firstLineChars="200"/>
        <w:rPr>
          <w:szCs w:val="24"/>
        </w:rPr>
      </w:pPr>
      <w:bookmarkStart w:id="10" w:name="bookmark9"/>
      <w:r>
        <w:rPr>
          <w:szCs w:val="21"/>
        </w:rPr>
        <w:t>本招标项目</w:t>
      </w:r>
      <w:r>
        <w:rPr>
          <w:rFonts w:hint="eastAsia" w:eastAsia="黑体"/>
          <w:snapToGrid w:val="0"/>
          <w:kern w:val="0"/>
          <w:szCs w:val="21"/>
          <w:u w:val="single"/>
          <w:shd w:val="clear" w:color="auto" w:fill="FFFFFF"/>
          <w:lang w:val="zh-CN"/>
        </w:rPr>
        <w:t>合肥经开区排水设施排查整治完善工程一期-桃枝路泵站片区排水提标改造及入河排口治理工程-土石方工程分包</w:t>
      </w:r>
      <w:r>
        <w:rPr>
          <w:szCs w:val="21"/>
        </w:rPr>
        <w:t>已具备招标条件，招标人为</w:t>
      </w:r>
      <w:r>
        <w:rPr>
          <w:rFonts w:hint="eastAsia" w:cs="楷体"/>
          <w:bCs/>
          <w:snapToGrid w:val="0"/>
          <w:color w:val="0000FF"/>
          <w:kern w:val="0"/>
          <w:szCs w:val="21"/>
          <w:u w:val="single"/>
        </w:rPr>
        <w:t>安徽虹达道路桥梁工程有限公司</w:t>
      </w:r>
      <w:r>
        <w:rPr>
          <w:rFonts w:hint="eastAsia"/>
          <w:szCs w:val="21"/>
        </w:rPr>
        <w:t>，</w:t>
      </w:r>
      <w:r>
        <w:rPr>
          <w:szCs w:val="21"/>
        </w:rPr>
        <w:t>现对该项目</w:t>
      </w:r>
      <w:r>
        <w:rPr>
          <w:rFonts w:hint="eastAsia"/>
          <w:szCs w:val="21"/>
        </w:rPr>
        <w:t>施工</w:t>
      </w:r>
      <w:r>
        <w:rPr>
          <w:szCs w:val="21"/>
        </w:rPr>
        <w:t>进行公开招标</w:t>
      </w:r>
      <w:r>
        <w:rPr>
          <w:rFonts w:hint="eastAsia"/>
          <w:szCs w:val="21"/>
        </w:rPr>
        <w:t>，欢迎满足条件的投标人积极响应投标</w:t>
      </w:r>
      <w:r>
        <w:rPr>
          <w:szCs w:val="21"/>
        </w:rPr>
        <w:t>。</w:t>
      </w:r>
    </w:p>
    <w:p w14:paraId="36E38E7F">
      <w:pPr>
        <w:pStyle w:val="3"/>
        <w:spacing w:line="360" w:lineRule="auto"/>
        <w:rPr>
          <w:rFonts w:ascii="Times New Roman" w:hAnsi="Times New Roman" w:eastAsia="黑体"/>
          <w:snapToGrid w:val="0"/>
          <w:sz w:val="24"/>
          <w:szCs w:val="24"/>
          <w:shd w:val="clear" w:color="auto" w:fill="FFFFFF"/>
          <w:lang w:val="zh-CN"/>
        </w:rPr>
      </w:pPr>
      <w:bookmarkStart w:id="11" w:name="_Toc14820"/>
      <w:bookmarkStart w:id="12" w:name="_Toc8984"/>
      <w:bookmarkStart w:id="13" w:name="_Toc31745"/>
      <w:bookmarkStart w:id="14" w:name="_Toc5832"/>
      <w:bookmarkStart w:id="15" w:name="_Toc16570"/>
      <w:bookmarkStart w:id="16" w:name="_Toc36119705"/>
      <w:bookmarkStart w:id="17" w:name="_Toc9333"/>
      <w:bookmarkStart w:id="18" w:name="_Toc27157"/>
      <w:r>
        <w:rPr>
          <w:rFonts w:ascii="Times New Roman" w:hAnsi="Times New Roman" w:eastAsia="黑体"/>
          <w:snapToGrid w:val="0"/>
          <w:sz w:val="24"/>
          <w:szCs w:val="24"/>
          <w:shd w:val="clear" w:color="auto" w:fill="FFFFFF"/>
          <w:lang w:val="zh-CN"/>
        </w:rPr>
        <w:t>2.</w:t>
      </w:r>
      <w:r>
        <w:rPr>
          <w:rFonts w:hint="eastAsia" w:ascii="Times New Roman" w:hAnsi="Times New Roman" w:eastAsia="黑体"/>
          <w:snapToGrid w:val="0"/>
          <w:sz w:val="24"/>
          <w:szCs w:val="24"/>
          <w:shd w:val="clear" w:color="auto" w:fill="FFFFFF"/>
          <w:lang w:val="zh-CN"/>
        </w:rPr>
        <w:t xml:space="preserve"> </w:t>
      </w:r>
      <w:r>
        <w:rPr>
          <w:rFonts w:ascii="Times New Roman" w:hAnsi="Times New Roman" w:eastAsia="黑体"/>
          <w:snapToGrid w:val="0"/>
          <w:sz w:val="24"/>
          <w:szCs w:val="24"/>
          <w:shd w:val="clear" w:color="auto" w:fill="FFFFFF"/>
          <w:lang w:val="zh-CN"/>
        </w:rPr>
        <w:t>项目概况与招标范围</w:t>
      </w:r>
      <w:bookmarkEnd w:id="10"/>
      <w:bookmarkEnd w:id="11"/>
      <w:bookmarkEnd w:id="12"/>
      <w:bookmarkEnd w:id="13"/>
      <w:bookmarkEnd w:id="14"/>
      <w:bookmarkEnd w:id="15"/>
      <w:bookmarkEnd w:id="16"/>
      <w:bookmarkEnd w:id="17"/>
      <w:bookmarkEnd w:id="18"/>
    </w:p>
    <w:p w14:paraId="52DE67F1">
      <w:pPr>
        <w:spacing w:line="360" w:lineRule="auto"/>
        <w:ind w:firstLine="420" w:firstLineChars="200"/>
        <w:jc w:val="left"/>
        <w:rPr>
          <w:rFonts w:cs="楷体"/>
          <w:bCs/>
          <w:snapToGrid w:val="0"/>
          <w:kern w:val="0"/>
          <w:szCs w:val="21"/>
        </w:rPr>
      </w:pPr>
      <w:r>
        <w:rPr>
          <w:rFonts w:hint="eastAsia" w:cs="楷体"/>
          <w:bCs/>
          <w:snapToGrid w:val="0"/>
          <w:kern w:val="0"/>
          <w:szCs w:val="21"/>
        </w:rPr>
        <w:t>2.1 建设地点：</w:t>
      </w:r>
      <w:r>
        <w:rPr>
          <w:rFonts w:hint="eastAsia" w:cs="楷体"/>
          <w:bCs/>
          <w:snapToGrid w:val="0"/>
          <w:kern w:val="0"/>
          <w:szCs w:val="21"/>
          <w:u w:val="single"/>
        </w:rPr>
        <w:t>合肥市，招标人指定地点</w:t>
      </w:r>
      <w:r>
        <w:rPr>
          <w:rFonts w:hint="eastAsia" w:cs="楷体"/>
          <w:bCs/>
          <w:snapToGrid w:val="0"/>
          <w:kern w:val="0"/>
          <w:szCs w:val="21"/>
        </w:rPr>
        <w:t>。</w:t>
      </w:r>
    </w:p>
    <w:p w14:paraId="39465F2B">
      <w:pPr>
        <w:spacing w:line="360" w:lineRule="auto"/>
        <w:ind w:firstLine="420" w:firstLineChars="200"/>
        <w:jc w:val="left"/>
        <w:rPr>
          <w:rFonts w:cs="楷体"/>
          <w:bCs/>
          <w:snapToGrid w:val="0"/>
          <w:kern w:val="0"/>
          <w:szCs w:val="21"/>
        </w:rPr>
      </w:pPr>
      <w:r>
        <w:rPr>
          <w:rFonts w:hint="eastAsia" w:cs="楷体"/>
          <w:bCs/>
          <w:snapToGrid w:val="0"/>
          <w:kern w:val="0"/>
          <w:szCs w:val="21"/>
        </w:rPr>
        <w:t>2.2 建设规模：</w:t>
      </w:r>
      <w:r>
        <w:rPr>
          <w:rFonts w:hint="eastAsia" w:cs="楷体"/>
          <w:bCs/>
          <w:snapToGrid w:val="0"/>
          <w:color w:val="0000FF"/>
          <w:kern w:val="0"/>
          <w:szCs w:val="21"/>
          <w:u w:val="single"/>
        </w:rPr>
        <w:t>该项目为合肥经开区排水设施排查整治完善工程一期-桃枝路泵站片区排水提标改造及入河排口治理工程配套土方项目，根据项目整体进度要求完成土方开挖、装卸及外弃运输，约 11.5 万 m³。本项目主要位于市政道路内施工，工期紧、任务重、影响大，安全文明施工要求高，社会关注度高，因工期紧迫，要求多点同时开工，施工时应合理安排时间，做好施工中的噪声控制、扬尘管理，安全文明施工等措施。</w:t>
      </w:r>
    </w:p>
    <w:p w14:paraId="5BBDCD8F">
      <w:pPr>
        <w:spacing w:line="360" w:lineRule="auto"/>
        <w:ind w:firstLine="420" w:firstLineChars="200"/>
        <w:jc w:val="left"/>
        <w:rPr>
          <w:rFonts w:cs="楷体"/>
          <w:bCs/>
          <w:snapToGrid w:val="0"/>
          <w:kern w:val="0"/>
          <w:szCs w:val="21"/>
        </w:rPr>
      </w:pPr>
      <w:r>
        <w:rPr>
          <w:rFonts w:hint="eastAsia" w:cs="楷体"/>
          <w:bCs/>
          <w:snapToGrid w:val="0"/>
          <w:kern w:val="0"/>
          <w:szCs w:val="21"/>
        </w:rPr>
        <w:t>2.3 计划工期：</w:t>
      </w:r>
      <w:r>
        <w:rPr>
          <w:rFonts w:hint="eastAsia" w:cs="楷体"/>
          <w:bCs/>
          <w:snapToGrid w:val="0"/>
          <w:color w:val="0000FF"/>
          <w:kern w:val="0"/>
          <w:szCs w:val="21"/>
          <w:u w:val="single"/>
        </w:rPr>
        <w:t>540天</w:t>
      </w:r>
      <w:r>
        <w:rPr>
          <w:rFonts w:hint="eastAsia" w:cs="楷体"/>
          <w:bCs/>
          <w:snapToGrid w:val="0"/>
          <w:kern w:val="0"/>
          <w:szCs w:val="21"/>
        </w:rPr>
        <w:t>。</w:t>
      </w:r>
    </w:p>
    <w:p w14:paraId="1B83D818">
      <w:pPr>
        <w:spacing w:line="360" w:lineRule="auto"/>
        <w:ind w:firstLine="420" w:firstLineChars="200"/>
        <w:rPr>
          <w:rFonts w:cs="楷体"/>
          <w:bCs/>
          <w:snapToGrid w:val="0"/>
          <w:kern w:val="0"/>
          <w:szCs w:val="21"/>
        </w:rPr>
      </w:pPr>
      <w:r>
        <w:rPr>
          <w:rFonts w:hint="eastAsia" w:cs="楷体"/>
          <w:bCs/>
          <w:snapToGrid w:val="0"/>
          <w:kern w:val="0"/>
          <w:szCs w:val="21"/>
        </w:rPr>
        <w:t>2.4 招标范围：</w:t>
      </w:r>
      <w:r>
        <w:rPr>
          <w:rFonts w:hint="eastAsia" w:cs="楷体"/>
          <w:bCs/>
          <w:snapToGrid w:val="0"/>
          <w:color w:val="0000FF"/>
          <w:kern w:val="0"/>
          <w:szCs w:val="21"/>
          <w:u w:val="single"/>
        </w:rPr>
        <w:t xml:space="preserve"> 招标文件及其答疑澄清和工程量清单等范围内全部工程内容，本项目无图纸，可参考项目相关的支护、建筑图纸</w:t>
      </w:r>
      <w:r>
        <w:rPr>
          <w:rFonts w:hint="eastAsia" w:cs="楷体"/>
          <w:bCs/>
          <w:snapToGrid w:val="0"/>
          <w:kern w:val="0"/>
          <w:szCs w:val="21"/>
        </w:rPr>
        <w:t>。</w:t>
      </w:r>
    </w:p>
    <w:p w14:paraId="2C05CED6">
      <w:pPr>
        <w:spacing w:line="360" w:lineRule="auto"/>
        <w:ind w:firstLine="420" w:firstLineChars="200"/>
        <w:rPr>
          <w:bCs/>
          <w:snapToGrid w:val="0"/>
          <w:kern w:val="0"/>
          <w:szCs w:val="21"/>
          <w:u w:val="single"/>
        </w:rPr>
      </w:pPr>
      <w:r>
        <w:rPr>
          <w:rFonts w:hint="eastAsia" w:cs="楷体"/>
          <w:bCs/>
          <w:snapToGrid w:val="0"/>
          <w:kern w:val="0"/>
          <w:szCs w:val="21"/>
        </w:rPr>
        <w:t>2.5 标段划分：</w:t>
      </w:r>
      <w:r>
        <w:rPr>
          <w:rFonts w:hint="eastAsia"/>
          <w:bCs/>
          <w:snapToGrid w:val="0"/>
          <w:kern w:val="0"/>
          <w:sz w:val="24"/>
          <w:szCs w:val="24"/>
        </w:rPr>
        <w:t>☑</w:t>
      </w:r>
      <w:r>
        <w:rPr>
          <w:rFonts w:hint="eastAsia"/>
          <w:bCs/>
          <w:snapToGrid w:val="0"/>
          <w:kern w:val="0"/>
          <w:szCs w:val="21"/>
          <w:u w:val="single"/>
        </w:rPr>
        <w:t>不分标段，整体为一个标段。</w:t>
      </w:r>
    </w:p>
    <w:p w14:paraId="75DCB178">
      <w:pPr>
        <w:spacing w:line="360" w:lineRule="auto"/>
        <w:ind w:firstLine="1920" w:firstLineChars="800"/>
        <w:rPr>
          <w:bCs/>
          <w:snapToGrid w:val="0"/>
          <w:kern w:val="0"/>
          <w:szCs w:val="21"/>
          <w:u w:val="single"/>
        </w:rPr>
      </w:pPr>
      <w:r>
        <w:rPr>
          <w:rFonts w:hint="eastAsia"/>
          <w:bCs/>
          <w:snapToGrid w:val="0"/>
          <w:kern w:val="0"/>
          <w:sz w:val="24"/>
          <w:szCs w:val="24"/>
        </w:rPr>
        <w:t>□</w:t>
      </w:r>
      <w:r>
        <w:rPr>
          <w:rFonts w:hint="eastAsia"/>
          <w:bCs/>
          <w:snapToGrid w:val="0"/>
          <w:kern w:val="0"/>
          <w:szCs w:val="21"/>
          <w:u w:val="single"/>
        </w:rPr>
        <w:t>本项目共划分为   个标段，具体为：</w:t>
      </w:r>
      <w:r>
        <w:rPr>
          <w:bCs/>
          <w:snapToGrid w:val="0"/>
          <w:kern w:val="0"/>
          <w:szCs w:val="21"/>
          <w:u w:val="single"/>
        </w:rPr>
        <w:fldChar w:fldCharType="begin"/>
      </w:r>
      <w:r>
        <w:rPr>
          <w:bCs/>
          <w:snapToGrid w:val="0"/>
          <w:kern w:val="0"/>
          <w:szCs w:val="21"/>
          <w:u w:val="single"/>
        </w:rPr>
        <w:instrText xml:space="preserve"> </w:instrText>
      </w:r>
      <w:r>
        <w:rPr>
          <w:rFonts w:hint="eastAsia"/>
          <w:bCs/>
          <w:snapToGrid w:val="0"/>
          <w:kern w:val="0"/>
          <w:szCs w:val="21"/>
          <w:u w:val="single"/>
        </w:rPr>
        <w:instrText xml:space="preserve">= 1 \* ROMAN</w:instrText>
      </w:r>
      <w:r>
        <w:rPr>
          <w:bCs/>
          <w:snapToGrid w:val="0"/>
          <w:kern w:val="0"/>
          <w:szCs w:val="21"/>
          <w:u w:val="single"/>
        </w:rPr>
        <w:instrText xml:space="preserve"> </w:instrText>
      </w:r>
      <w:r>
        <w:rPr>
          <w:bCs/>
          <w:snapToGrid w:val="0"/>
          <w:kern w:val="0"/>
          <w:szCs w:val="21"/>
          <w:u w:val="single"/>
        </w:rPr>
        <w:fldChar w:fldCharType="separate"/>
      </w:r>
      <w:r>
        <w:rPr>
          <w:bCs/>
          <w:snapToGrid w:val="0"/>
          <w:kern w:val="0"/>
          <w:szCs w:val="21"/>
          <w:u w:val="single"/>
        </w:rPr>
        <w:t>I</w:t>
      </w:r>
      <w:r>
        <w:rPr>
          <w:bCs/>
          <w:snapToGrid w:val="0"/>
          <w:kern w:val="0"/>
          <w:szCs w:val="21"/>
          <w:u w:val="single"/>
        </w:rPr>
        <w:fldChar w:fldCharType="end"/>
      </w:r>
      <w:r>
        <w:rPr>
          <w:rFonts w:hint="eastAsia"/>
          <w:bCs/>
          <w:snapToGrid w:val="0"/>
          <w:kern w:val="0"/>
          <w:szCs w:val="21"/>
          <w:u w:val="single"/>
        </w:rPr>
        <w:t>标段：    ；</w:t>
      </w:r>
      <w:r>
        <w:rPr>
          <w:bCs/>
          <w:snapToGrid w:val="0"/>
          <w:kern w:val="0"/>
          <w:szCs w:val="21"/>
          <w:u w:val="single"/>
        </w:rPr>
        <w:fldChar w:fldCharType="begin"/>
      </w:r>
      <w:r>
        <w:rPr>
          <w:bCs/>
          <w:snapToGrid w:val="0"/>
          <w:kern w:val="0"/>
          <w:szCs w:val="21"/>
          <w:u w:val="single"/>
        </w:rPr>
        <w:instrText xml:space="preserve"> </w:instrText>
      </w:r>
      <w:r>
        <w:rPr>
          <w:rFonts w:hint="eastAsia"/>
          <w:bCs/>
          <w:snapToGrid w:val="0"/>
          <w:kern w:val="0"/>
          <w:szCs w:val="21"/>
          <w:u w:val="single"/>
        </w:rPr>
        <w:instrText xml:space="preserve">= 2 \* ROMAN</w:instrText>
      </w:r>
      <w:r>
        <w:rPr>
          <w:bCs/>
          <w:snapToGrid w:val="0"/>
          <w:kern w:val="0"/>
          <w:szCs w:val="21"/>
          <w:u w:val="single"/>
        </w:rPr>
        <w:instrText xml:space="preserve"> </w:instrText>
      </w:r>
      <w:r>
        <w:rPr>
          <w:bCs/>
          <w:snapToGrid w:val="0"/>
          <w:kern w:val="0"/>
          <w:szCs w:val="21"/>
          <w:u w:val="single"/>
        </w:rPr>
        <w:fldChar w:fldCharType="separate"/>
      </w:r>
      <w:r>
        <w:rPr>
          <w:bCs/>
          <w:snapToGrid w:val="0"/>
          <w:kern w:val="0"/>
          <w:szCs w:val="21"/>
          <w:u w:val="single"/>
        </w:rPr>
        <w:t>II</w:t>
      </w:r>
      <w:r>
        <w:rPr>
          <w:bCs/>
          <w:snapToGrid w:val="0"/>
          <w:kern w:val="0"/>
          <w:szCs w:val="21"/>
          <w:u w:val="single"/>
        </w:rPr>
        <w:fldChar w:fldCharType="end"/>
      </w:r>
      <w:r>
        <w:rPr>
          <w:rFonts w:hint="eastAsia"/>
          <w:bCs/>
          <w:snapToGrid w:val="0"/>
          <w:kern w:val="0"/>
          <w:szCs w:val="21"/>
          <w:u w:val="single"/>
        </w:rPr>
        <w:t>标段：    。</w:t>
      </w:r>
    </w:p>
    <w:p w14:paraId="2E913E9B">
      <w:pPr>
        <w:spacing w:line="360" w:lineRule="auto"/>
        <w:ind w:firstLine="420" w:firstLineChars="200"/>
        <w:rPr>
          <w:color w:val="FF0000"/>
          <w:szCs w:val="21"/>
          <w:u w:val="single"/>
        </w:rPr>
      </w:pPr>
      <w:r>
        <w:rPr>
          <w:rFonts w:hint="eastAsia" w:cs="楷体"/>
          <w:bCs/>
          <w:snapToGrid w:val="0"/>
          <w:kern w:val="0"/>
          <w:szCs w:val="21"/>
        </w:rPr>
        <w:t>2.6 项目概算价：</w:t>
      </w:r>
      <w:r>
        <w:rPr>
          <w:rFonts w:hint="eastAsia" w:cs="楷体"/>
          <w:bCs/>
          <w:snapToGrid w:val="0"/>
          <w:kern w:val="0"/>
          <w:szCs w:val="21"/>
          <w:u w:val="single"/>
        </w:rPr>
        <w:t xml:space="preserve">     </w:t>
      </w:r>
      <w:r>
        <w:rPr>
          <w:rFonts w:hint="eastAsia" w:cs="楷体"/>
          <w:bCs/>
          <w:snapToGrid w:val="0"/>
          <w:color w:val="0000FF"/>
          <w:kern w:val="0"/>
          <w:szCs w:val="21"/>
          <w:u w:val="single"/>
        </w:rPr>
        <w:t>人民币457.53万</w:t>
      </w:r>
      <w:r>
        <w:rPr>
          <w:rFonts w:hint="eastAsia" w:ascii="宋体" w:hAnsi="宋体" w:cs="宋体"/>
          <w:color w:val="0000FF"/>
          <w:kern w:val="0"/>
          <w:sz w:val="22"/>
          <w:u w:val="single"/>
          <w:lang w:bidi="ar"/>
        </w:rPr>
        <w:t>元</w:t>
      </w:r>
      <w:r>
        <w:rPr>
          <w:rFonts w:hint="eastAsia" w:ascii="宋体" w:hAnsi="宋体" w:cs="宋体"/>
          <w:kern w:val="0"/>
          <w:sz w:val="22"/>
          <w:u w:val="single"/>
          <w:lang w:bidi="ar"/>
        </w:rPr>
        <w:t xml:space="preserve">  </w:t>
      </w:r>
    </w:p>
    <w:p w14:paraId="151B9D73">
      <w:pPr>
        <w:spacing w:line="360" w:lineRule="auto"/>
        <w:ind w:firstLine="420" w:firstLineChars="200"/>
        <w:rPr>
          <w:szCs w:val="21"/>
        </w:rPr>
      </w:pPr>
      <w:r>
        <w:rPr>
          <w:rFonts w:hint="eastAsia" w:cs="楷体"/>
          <w:bCs/>
          <w:snapToGrid w:val="0"/>
          <w:kern w:val="0"/>
          <w:szCs w:val="21"/>
        </w:rPr>
        <w:t>2.7 其</w:t>
      </w:r>
      <w:r>
        <w:rPr>
          <w:rFonts w:hint="eastAsia"/>
          <w:szCs w:val="21"/>
        </w:rPr>
        <w:t>他</w:t>
      </w:r>
      <w:r>
        <w:rPr>
          <w:rFonts w:hint="eastAsia"/>
        </w:rPr>
        <w:t>：</w:t>
      </w:r>
      <w:r>
        <w:rPr>
          <w:rFonts w:hint="eastAsia" w:cs="楷体"/>
          <w:bCs/>
          <w:snapToGrid w:val="0"/>
          <w:kern w:val="0"/>
          <w:szCs w:val="21"/>
          <w:u w:val="single"/>
        </w:rPr>
        <w:t xml:space="preserve">                        /                     </w:t>
      </w:r>
      <w:r>
        <w:rPr>
          <w:rFonts w:hint="eastAsia"/>
          <w:szCs w:val="21"/>
        </w:rPr>
        <w:t>。</w:t>
      </w:r>
    </w:p>
    <w:p w14:paraId="5F73EFC9">
      <w:pPr>
        <w:spacing w:line="360" w:lineRule="auto"/>
        <w:ind w:firstLine="420" w:firstLineChars="200"/>
        <w:rPr>
          <w:rFonts w:cs="楷体"/>
          <w:bCs/>
          <w:snapToGrid w:val="0"/>
          <w:kern w:val="0"/>
          <w:szCs w:val="21"/>
        </w:rPr>
      </w:pPr>
      <w:r>
        <w:rPr>
          <w:rFonts w:hint="eastAsia" w:cs="楷体"/>
          <w:bCs/>
          <w:snapToGrid w:val="0"/>
          <w:kern w:val="0"/>
          <w:szCs w:val="21"/>
        </w:rPr>
        <w:t>2.8合同签订单位：</w:t>
      </w:r>
      <w:r>
        <w:rPr>
          <w:rFonts w:hint="eastAsia" w:cs="楷体"/>
          <w:bCs/>
          <w:snapToGrid w:val="0"/>
          <w:kern w:val="0"/>
          <w:szCs w:val="21"/>
          <w:u w:val="single"/>
        </w:rPr>
        <w:t xml:space="preserve">     </w:t>
      </w:r>
      <w:r>
        <w:rPr>
          <w:rFonts w:hint="eastAsia" w:cs="楷体"/>
          <w:bCs/>
          <w:snapToGrid w:val="0"/>
          <w:color w:val="0000FF"/>
          <w:kern w:val="0"/>
          <w:szCs w:val="21"/>
          <w:u w:val="single"/>
        </w:rPr>
        <w:t>安徽虹达道路桥梁工程有限公司</w:t>
      </w:r>
      <w:r>
        <w:rPr>
          <w:rFonts w:hint="eastAsia" w:cs="楷体"/>
          <w:bCs/>
          <w:snapToGrid w:val="0"/>
          <w:kern w:val="0"/>
          <w:szCs w:val="21"/>
          <w:u w:val="single"/>
        </w:rPr>
        <w:t xml:space="preserve">     </w:t>
      </w:r>
      <w:r>
        <w:rPr>
          <w:rFonts w:hint="eastAsia" w:cs="楷体"/>
          <w:bCs/>
          <w:snapToGrid w:val="0"/>
          <w:kern w:val="0"/>
          <w:szCs w:val="21"/>
        </w:rPr>
        <w:t>。</w:t>
      </w:r>
    </w:p>
    <w:p w14:paraId="7DC2D5E5">
      <w:pPr>
        <w:spacing w:line="360" w:lineRule="auto"/>
        <w:ind w:firstLine="420" w:firstLineChars="200"/>
        <w:rPr>
          <w:szCs w:val="21"/>
        </w:rPr>
      </w:pPr>
    </w:p>
    <w:p w14:paraId="3694B744">
      <w:pPr>
        <w:pStyle w:val="3"/>
        <w:spacing w:line="360" w:lineRule="auto"/>
        <w:rPr>
          <w:rFonts w:ascii="Times New Roman" w:hAnsi="Times New Roman" w:eastAsia="黑体"/>
          <w:snapToGrid w:val="0"/>
          <w:sz w:val="24"/>
          <w:szCs w:val="24"/>
          <w:shd w:val="clear" w:color="auto" w:fill="FFFFFF"/>
          <w:lang w:val="zh-CN"/>
        </w:rPr>
      </w:pPr>
      <w:bookmarkStart w:id="19" w:name="_Toc10542"/>
      <w:bookmarkStart w:id="20" w:name="_Toc20639"/>
      <w:bookmarkStart w:id="21" w:name="_Toc31530"/>
      <w:bookmarkStart w:id="22" w:name="bookmark10"/>
      <w:bookmarkStart w:id="23" w:name="_Toc20344"/>
      <w:bookmarkStart w:id="24" w:name="_Toc36119706"/>
      <w:bookmarkStart w:id="25" w:name="_Toc1661"/>
      <w:bookmarkStart w:id="26" w:name="_Toc31433"/>
      <w:bookmarkStart w:id="27" w:name="_Toc16937"/>
      <w:r>
        <w:rPr>
          <w:rFonts w:ascii="Times New Roman" w:hAnsi="Times New Roman" w:eastAsia="黑体"/>
          <w:snapToGrid w:val="0"/>
          <w:sz w:val="24"/>
          <w:szCs w:val="24"/>
          <w:shd w:val="clear" w:color="auto" w:fill="FFFFFF"/>
          <w:lang w:val="zh-CN"/>
        </w:rPr>
        <w:t>3.</w:t>
      </w:r>
      <w:r>
        <w:rPr>
          <w:rFonts w:hint="eastAsia" w:ascii="Times New Roman" w:hAnsi="Times New Roman" w:eastAsia="黑体"/>
          <w:snapToGrid w:val="0"/>
          <w:sz w:val="24"/>
          <w:szCs w:val="24"/>
          <w:shd w:val="clear" w:color="auto" w:fill="FFFFFF"/>
          <w:lang w:val="zh-CN"/>
        </w:rPr>
        <w:t xml:space="preserve"> </w:t>
      </w:r>
      <w:r>
        <w:rPr>
          <w:rFonts w:ascii="Times New Roman" w:hAnsi="Times New Roman" w:eastAsia="黑体"/>
          <w:snapToGrid w:val="0"/>
          <w:sz w:val="24"/>
          <w:szCs w:val="24"/>
          <w:shd w:val="clear" w:color="auto" w:fill="FFFFFF"/>
          <w:lang w:val="zh-CN"/>
        </w:rPr>
        <w:t>投标人资格要求</w:t>
      </w:r>
      <w:bookmarkEnd w:id="19"/>
      <w:bookmarkEnd w:id="20"/>
      <w:bookmarkEnd w:id="21"/>
      <w:bookmarkEnd w:id="22"/>
      <w:bookmarkEnd w:id="23"/>
      <w:bookmarkEnd w:id="24"/>
      <w:bookmarkEnd w:id="25"/>
      <w:bookmarkEnd w:id="26"/>
      <w:bookmarkEnd w:id="27"/>
    </w:p>
    <w:p w14:paraId="024775F6">
      <w:pPr>
        <w:spacing w:line="360" w:lineRule="auto"/>
        <w:ind w:firstLine="420" w:firstLineChars="200"/>
        <w:jc w:val="left"/>
        <w:rPr>
          <w:rFonts w:cs="楷体"/>
          <w:bCs/>
          <w:snapToGrid w:val="0"/>
          <w:kern w:val="0"/>
          <w:szCs w:val="21"/>
        </w:rPr>
      </w:pPr>
      <w:r>
        <w:rPr>
          <w:rFonts w:hint="eastAsia" w:cs="楷体"/>
          <w:bCs/>
          <w:snapToGrid w:val="0"/>
          <w:kern w:val="0"/>
          <w:szCs w:val="21"/>
        </w:rPr>
        <w:t>3.1投标人资质要求：投标人须具备独立法人资格，持有有效的营业执照；属于</w:t>
      </w:r>
      <w:r>
        <w:rPr>
          <w:rFonts w:hint="eastAsia"/>
          <w:b/>
          <w:bCs/>
          <w:color w:val="0000FF"/>
          <w:szCs w:val="21"/>
          <w:u w:val="single"/>
        </w:rPr>
        <w:t>公司承包类项目专业分包供应商库中单位，自2023年1月1日以来具有土石方施工或土方外运项目相关施工业绩</w:t>
      </w:r>
      <w:r>
        <w:rPr>
          <w:rFonts w:hint="eastAsia" w:cs="楷体"/>
          <w:bCs/>
          <w:snapToGrid w:val="0"/>
          <w:kern w:val="0"/>
          <w:szCs w:val="21"/>
        </w:rPr>
        <w:t>，具有有效的安全生产许可证。</w:t>
      </w:r>
    </w:p>
    <w:p w14:paraId="0A851212">
      <w:pPr>
        <w:spacing w:line="360" w:lineRule="auto"/>
        <w:ind w:firstLine="420" w:firstLineChars="200"/>
        <w:jc w:val="left"/>
        <w:rPr>
          <w:rFonts w:cs="楷体"/>
          <w:bCs/>
          <w:snapToGrid w:val="0"/>
          <w:kern w:val="0"/>
          <w:szCs w:val="21"/>
        </w:rPr>
      </w:pPr>
      <w:r>
        <w:rPr>
          <w:rFonts w:hint="eastAsia" w:cs="楷体"/>
          <w:bCs/>
          <w:snapToGrid w:val="0"/>
          <w:kern w:val="0"/>
          <w:szCs w:val="21"/>
        </w:rPr>
        <w:t>3.2报名单位信用要求：</w:t>
      </w:r>
    </w:p>
    <w:p w14:paraId="2E12FCC2">
      <w:pPr>
        <w:spacing w:line="360" w:lineRule="auto"/>
        <w:ind w:firstLine="420" w:firstLineChars="200"/>
        <w:jc w:val="left"/>
        <w:rPr>
          <w:rFonts w:cs="楷体"/>
          <w:bCs/>
          <w:snapToGrid w:val="0"/>
          <w:kern w:val="0"/>
          <w:szCs w:val="21"/>
        </w:rPr>
      </w:pPr>
      <w:r>
        <w:rPr>
          <w:rFonts w:hint="eastAsia" w:cs="楷体"/>
          <w:bCs/>
          <w:snapToGrid w:val="0"/>
          <w:kern w:val="0"/>
          <w:szCs w:val="21"/>
        </w:rPr>
        <w:t>至截止时间为止，报名单位（不包含其不具有独立法人资格的分支机构）不得存在以下情形之一：</w:t>
      </w:r>
    </w:p>
    <w:p w14:paraId="29775C23">
      <w:pPr>
        <w:spacing w:line="360" w:lineRule="auto"/>
        <w:ind w:firstLine="420" w:firstLineChars="200"/>
        <w:jc w:val="left"/>
        <w:rPr>
          <w:rFonts w:cs="楷体"/>
          <w:bCs/>
          <w:snapToGrid w:val="0"/>
          <w:kern w:val="0"/>
          <w:szCs w:val="21"/>
        </w:rPr>
      </w:pPr>
      <w:r>
        <w:rPr>
          <w:rFonts w:hint="eastAsia" w:cs="楷体"/>
          <w:bCs/>
          <w:snapToGrid w:val="0"/>
          <w:kern w:val="0"/>
          <w:szCs w:val="21"/>
        </w:rPr>
        <w:t>被列入人民法院“失信被执行人”名单的（查询网址“中国执行信息公开网”http://zxgk.court.gov.cn/）；【提供网站截图】</w:t>
      </w:r>
    </w:p>
    <w:p w14:paraId="631661BF">
      <w:pPr>
        <w:spacing w:line="360" w:lineRule="auto"/>
        <w:ind w:firstLine="420" w:firstLineChars="200"/>
        <w:jc w:val="left"/>
        <w:rPr>
          <w:rFonts w:cs="楷体"/>
          <w:bCs/>
          <w:snapToGrid w:val="0"/>
          <w:kern w:val="0"/>
          <w:szCs w:val="21"/>
        </w:rPr>
      </w:pPr>
      <w:r>
        <w:rPr>
          <w:rFonts w:hint="eastAsia" w:cs="楷体"/>
          <w:bCs/>
          <w:snapToGrid w:val="0"/>
          <w:kern w:val="0"/>
          <w:szCs w:val="21"/>
        </w:rPr>
        <w:t>被列入国家市场监督管理总局“经营异常名录”或“严重违法失信企业名单”的（查询网址“国家企业信用信息公示系统” http://www.gsxt.gov.cn/index.html）；【提供网站截图】</w:t>
      </w:r>
    </w:p>
    <w:p w14:paraId="6CB0D954">
      <w:pPr>
        <w:spacing w:line="360" w:lineRule="auto"/>
        <w:ind w:firstLine="420" w:firstLineChars="200"/>
        <w:jc w:val="left"/>
        <w:rPr>
          <w:rFonts w:cs="楷体"/>
          <w:bCs/>
          <w:snapToGrid w:val="0"/>
          <w:kern w:val="0"/>
          <w:szCs w:val="21"/>
        </w:rPr>
      </w:pPr>
      <w:r>
        <w:rPr>
          <w:rFonts w:hint="eastAsia" w:cs="楷体"/>
          <w:bCs/>
          <w:snapToGrid w:val="0"/>
          <w:kern w:val="0"/>
          <w:szCs w:val="21"/>
        </w:rPr>
        <w:t>被国家税务总局列入“重大税收违法案件当事人名单”的（查询网址“国家税务总局”http://hd.chinatax.gov.cn/nszx/InitMajor.html）；【提供网站截图】</w:t>
      </w:r>
    </w:p>
    <w:p w14:paraId="578E541D">
      <w:pPr>
        <w:spacing w:line="360" w:lineRule="auto"/>
        <w:ind w:firstLine="420" w:firstLineChars="200"/>
        <w:jc w:val="left"/>
        <w:rPr>
          <w:rFonts w:cs="楷体"/>
          <w:bCs/>
          <w:snapToGrid w:val="0"/>
          <w:kern w:val="0"/>
          <w:szCs w:val="21"/>
        </w:rPr>
      </w:pPr>
      <w:r>
        <w:rPr>
          <w:rFonts w:hint="eastAsia" w:cs="楷体"/>
          <w:bCs/>
          <w:snapToGrid w:val="0"/>
          <w:kern w:val="0"/>
          <w:szCs w:val="21"/>
        </w:rPr>
        <w:t>报名单位或其法定代表人或拟派项目经理（项目负责人）被人民检察院列入行贿犯罪档案的。【提供上述主体无行贿犯罪行为承诺】</w:t>
      </w:r>
    </w:p>
    <w:p w14:paraId="0A3DCC42">
      <w:pPr>
        <w:spacing w:line="360" w:lineRule="auto"/>
        <w:ind w:firstLine="420" w:firstLineChars="200"/>
        <w:rPr>
          <w:rFonts w:cs="楷体"/>
          <w:bCs/>
          <w:snapToGrid w:val="0"/>
          <w:kern w:val="0"/>
          <w:szCs w:val="21"/>
        </w:rPr>
      </w:pPr>
      <w:r>
        <w:rPr>
          <w:rFonts w:hint="eastAsia" w:cs="楷体"/>
          <w:bCs/>
          <w:snapToGrid w:val="0"/>
          <w:kern w:val="0"/>
          <w:szCs w:val="21"/>
        </w:rPr>
        <w:t>3.3 本次招标</w:t>
      </w:r>
      <w:r>
        <w:rPr>
          <w:rFonts w:hint="eastAsia" w:cs="楷体"/>
          <w:bCs/>
          <w:snapToGrid w:val="0"/>
          <w:kern w:val="0"/>
          <w:szCs w:val="21"/>
          <w:u w:val="single"/>
        </w:rPr>
        <w:t>不接受</w:t>
      </w:r>
      <w:r>
        <w:rPr>
          <w:rFonts w:hint="eastAsia" w:cs="楷体"/>
          <w:bCs/>
          <w:snapToGrid w:val="0"/>
          <w:kern w:val="0"/>
          <w:szCs w:val="21"/>
        </w:rPr>
        <w:t>联合体投标。</w:t>
      </w:r>
    </w:p>
    <w:p w14:paraId="7FD1ACC8">
      <w:pPr>
        <w:spacing w:line="360" w:lineRule="auto"/>
        <w:ind w:firstLine="420" w:firstLineChars="200"/>
        <w:rPr>
          <w:szCs w:val="24"/>
        </w:rPr>
      </w:pPr>
      <w:r>
        <w:rPr>
          <w:rFonts w:hint="eastAsia" w:cs="楷体"/>
          <w:bCs/>
          <w:snapToGrid w:val="0"/>
          <w:kern w:val="0"/>
          <w:szCs w:val="21"/>
        </w:rPr>
        <w:t>3.4 其他要求：</w:t>
      </w:r>
      <w:r>
        <w:rPr>
          <w:rFonts w:hint="eastAsia"/>
          <w:szCs w:val="21"/>
          <w:u w:val="single"/>
        </w:rPr>
        <w:t>与招标人存在利害关系可能影响招标公正性的单位，不得参加投标。单位负责人为同一人或存在控股、管理关系的不同单位，不得参加同一标段投标，否则，相关投标均无效</w:t>
      </w:r>
      <w:r>
        <w:rPr>
          <w:rFonts w:hint="eastAsia"/>
          <w:szCs w:val="24"/>
        </w:rPr>
        <w:t>。</w:t>
      </w:r>
    </w:p>
    <w:p w14:paraId="29DE6653">
      <w:pPr>
        <w:spacing w:line="360" w:lineRule="auto"/>
        <w:ind w:firstLine="420" w:firstLineChars="200"/>
        <w:rPr>
          <w:szCs w:val="21"/>
        </w:rPr>
      </w:pPr>
      <w:r>
        <w:rPr>
          <w:rFonts w:hint="eastAsia"/>
          <w:szCs w:val="21"/>
        </w:rPr>
        <w:t>3.5 特殊要求：</w:t>
      </w:r>
      <w:r>
        <w:rPr>
          <w:rFonts w:hint="eastAsia"/>
          <w:szCs w:val="21"/>
          <w:u w:val="single"/>
        </w:rPr>
        <w:t xml:space="preserve">             /            </w:t>
      </w:r>
      <w:r>
        <w:rPr>
          <w:rFonts w:hint="eastAsia"/>
          <w:szCs w:val="21"/>
        </w:rPr>
        <w:t>。</w:t>
      </w:r>
    </w:p>
    <w:p w14:paraId="540846C2">
      <w:pPr>
        <w:pStyle w:val="3"/>
        <w:spacing w:line="360" w:lineRule="auto"/>
        <w:rPr>
          <w:rFonts w:ascii="Times New Roman" w:hAnsi="Times New Roman" w:eastAsia="黑体"/>
          <w:snapToGrid w:val="0"/>
          <w:sz w:val="24"/>
          <w:szCs w:val="24"/>
          <w:shd w:val="clear" w:color="auto" w:fill="FFFFFF"/>
          <w:lang w:val="zh-CN"/>
        </w:rPr>
      </w:pPr>
      <w:bookmarkStart w:id="28" w:name="_Toc5753"/>
      <w:bookmarkStart w:id="29" w:name="_Toc7053"/>
      <w:bookmarkStart w:id="30" w:name="_Toc7483"/>
      <w:r>
        <w:rPr>
          <w:rFonts w:ascii="Times New Roman" w:hAnsi="Times New Roman" w:eastAsia="黑体"/>
          <w:snapToGrid w:val="0"/>
          <w:sz w:val="24"/>
          <w:szCs w:val="24"/>
          <w:shd w:val="clear" w:color="auto" w:fill="FFFFFF"/>
          <w:lang w:val="zh-CN"/>
        </w:rPr>
        <w:t>4.</w:t>
      </w:r>
      <w:r>
        <w:rPr>
          <w:rFonts w:hint="eastAsia" w:ascii="Times New Roman" w:hAnsi="Times New Roman" w:eastAsia="黑体"/>
          <w:snapToGrid w:val="0"/>
          <w:sz w:val="24"/>
          <w:szCs w:val="24"/>
          <w:shd w:val="clear" w:color="auto" w:fill="FFFFFF"/>
          <w:lang w:val="zh-CN"/>
        </w:rPr>
        <w:t xml:space="preserve"> </w:t>
      </w:r>
      <w:r>
        <w:rPr>
          <w:rFonts w:ascii="Times New Roman" w:hAnsi="Times New Roman" w:eastAsia="黑体"/>
          <w:snapToGrid w:val="0"/>
          <w:sz w:val="24"/>
          <w:szCs w:val="24"/>
          <w:shd w:val="clear" w:color="auto" w:fill="FFFFFF"/>
          <w:lang w:val="zh-CN"/>
        </w:rPr>
        <w:t>招标文件的获取</w:t>
      </w:r>
      <w:bookmarkEnd w:id="28"/>
      <w:bookmarkEnd w:id="29"/>
      <w:bookmarkEnd w:id="30"/>
    </w:p>
    <w:p w14:paraId="5C8F5AB0">
      <w:pPr>
        <w:tabs>
          <w:tab w:val="left" w:leader="underscore" w:pos="4163"/>
          <w:tab w:val="left" w:leader="underscore" w:pos="6506"/>
        </w:tabs>
        <w:adjustRightInd w:val="0"/>
        <w:spacing w:line="360" w:lineRule="auto"/>
        <w:ind w:firstLine="420" w:firstLineChars="200"/>
        <w:rPr>
          <w:rFonts w:hint="eastAsia" w:ascii="宋体" w:hAnsi="宋体" w:cs="宋体"/>
          <w:snapToGrid w:val="0"/>
          <w:kern w:val="0"/>
          <w:szCs w:val="21"/>
          <w:shd w:val="clear" w:color="auto" w:fill="FFFFFF"/>
        </w:rPr>
      </w:pPr>
      <w:r>
        <w:rPr>
          <w:rFonts w:hint="eastAsia" w:ascii="宋体" w:hAnsi="宋体" w:cs="宋体"/>
          <w:snapToGrid w:val="0"/>
          <w:kern w:val="0"/>
          <w:szCs w:val="21"/>
          <w:shd w:val="clear" w:color="auto" w:fill="FFFFFF"/>
        </w:rPr>
        <w:t>4.1 获取时间：</w:t>
      </w:r>
      <w:r>
        <w:rPr>
          <w:rFonts w:hint="eastAsia" w:ascii="宋体" w:hAnsi="宋体" w:cs="宋体"/>
          <w:snapToGrid w:val="0"/>
          <w:kern w:val="0"/>
          <w:szCs w:val="21"/>
          <w:u w:val="single"/>
          <w:shd w:val="clear" w:color="auto" w:fill="FFFFFF"/>
        </w:rPr>
        <w:t xml:space="preserve"> </w:t>
      </w:r>
      <w:r>
        <w:rPr>
          <w:rFonts w:hint="eastAsia" w:ascii="宋体" w:hAnsi="宋体" w:cs="宋体"/>
          <w:snapToGrid w:val="0"/>
          <w:kern w:val="0"/>
          <w:szCs w:val="21"/>
          <w:highlight w:val="yellow"/>
          <w:u w:val="single"/>
          <w:shd w:val="clear" w:color="auto" w:fill="FFFFFF"/>
        </w:rPr>
        <w:t xml:space="preserve"> 2026 </w:t>
      </w:r>
      <w:r>
        <w:rPr>
          <w:rFonts w:hint="eastAsia" w:ascii="宋体" w:hAnsi="宋体" w:cs="宋体"/>
          <w:snapToGrid w:val="0"/>
          <w:kern w:val="0"/>
          <w:szCs w:val="21"/>
          <w:highlight w:val="yellow"/>
          <w:shd w:val="clear" w:color="auto" w:fill="FFFFFF"/>
          <w:lang w:val="zh-CN"/>
        </w:rPr>
        <w:t>年</w:t>
      </w:r>
      <w:r>
        <w:rPr>
          <w:rFonts w:hint="eastAsia" w:ascii="宋体" w:hAnsi="宋体" w:cs="宋体"/>
          <w:snapToGrid w:val="0"/>
          <w:kern w:val="0"/>
          <w:szCs w:val="21"/>
          <w:highlight w:val="yellow"/>
          <w:u w:val="single"/>
          <w:shd w:val="clear" w:color="auto" w:fill="FFFFFF"/>
        </w:rPr>
        <w:t xml:space="preserve"> 4 </w:t>
      </w:r>
      <w:r>
        <w:rPr>
          <w:rFonts w:hint="eastAsia" w:ascii="宋体" w:hAnsi="宋体" w:cs="宋体"/>
          <w:snapToGrid w:val="0"/>
          <w:kern w:val="0"/>
          <w:szCs w:val="21"/>
          <w:highlight w:val="yellow"/>
          <w:shd w:val="clear" w:color="auto" w:fill="FFFFFF"/>
          <w:lang w:val="zh-CN"/>
        </w:rPr>
        <w:t>月</w:t>
      </w:r>
      <w:r>
        <w:rPr>
          <w:rFonts w:hint="eastAsia" w:ascii="宋体" w:hAnsi="宋体" w:cs="宋体"/>
          <w:snapToGrid w:val="0"/>
          <w:kern w:val="0"/>
          <w:szCs w:val="21"/>
          <w:highlight w:val="yellow"/>
          <w:u w:val="single"/>
          <w:shd w:val="clear" w:color="auto" w:fill="FFFFFF"/>
        </w:rPr>
        <w:t xml:space="preserve">  20  </w:t>
      </w:r>
      <w:r>
        <w:rPr>
          <w:rFonts w:hint="eastAsia" w:ascii="宋体" w:hAnsi="宋体" w:cs="宋体"/>
          <w:snapToGrid w:val="0"/>
          <w:kern w:val="0"/>
          <w:szCs w:val="21"/>
          <w:highlight w:val="yellow"/>
          <w:shd w:val="clear" w:color="auto" w:fill="FFFFFF"/>
          <w:lang w:val="zh-CN"/>
        </w:rPr>
        <w:t>日至</w:t>
      </w:r>
      <w:r>
        <w:rPr>
          <w:rFonts w:hint="eastAsia" w:ascii="宋体" w:hAnsi="宋体" w:cs="宋体"/>
          <w:snapToGrid w:val="0"/>
          <w:kern w:val="0"/>
          <w:szCs w:val="21"/>
          <w:highlight w:val="yellow"/>
          <w:u w:val="single"/>
          <w:shd w:val="clear" w:color="auto" w:fill="FFFFFF"/>
        </w:rPr>
        <w:t xml:space="preserve">  2026 </w:t>
      </w:r>
      <w:r>
        <w:rPr>
          <w:rFonts w:hint="eastAsia" w:ascii="宋体" w:hAnsi="宋体" w:cs="宋体"/>
          <w:snapToGrid w:val="0"/>
          <w:kern w:val="0"/>
          <w:szCs w:val="21"/>
          <w:highlight w:val="yellow"/>
          <w:shd w:val="clear" w:color="auto" w:fill="FFFFFF"/>
          <w:lang w:val="zh-CN"/>
        </w:rPr>
        <w:t>年</w:t>
      </w:r>
      <w:r>
        <w:rPr>
          <w:rFonts w:hint="eastAsia" w:ascii="宋体" w:hAnsi="宋体" w:cs="宋体"/>
          <w:snapToGrid w:val="0"/>
          <w:kern w:val="0"/>
          <w:szCs w:val="21"/>
          <w:highlight w:val="yellow"/>
          <w:u w:val="single"/>
          <w:shd w:val="clear" w:color="auto" w:fill="FFFFFF"/>
        </w:rPr>
        <w:t xml:space="preserve"> 4 </w:t>
      </w:r>
      <w:r>
        <w:rPr>
          <w:rFonts w:hint="eastAsia" w:ascii="宋体" w:hAnsi="宋体" w:cs="宋体"/>
          <w:snapToGrid w:val="0"/>
          <w:kern w:val="0"/>
          <w:szCs w:val="21"/>
          <w:highlight w:val="yellow"/>
          <w:shd w:val="clear" w:color="auto" w:fill="FFFFFF"/>
          <w:lang w:val="zh-CN"/>
        </w:rPr>
        <w:t>月</w:t>
      </w:r>
      <w:r>
        <w:rPr>
          <w:rFonts w:hint="eastAsia" w:ascii="宋体" w:hAnsi="宋体" w:cs="宋体"/>
          <w:snapToGrid w:val="0"/>
          <w:kern w:val="0"/>
          <w:szCs w:val="21"/>
          <w:highlight w:val="yellow"/>
          <w:u w:val="single"/>
          <w:shd w:val="clear" w:color="auto" w:fill="FFFFFF"/>
          <w:lang w:val="zh-CN"/>
        </w:rPr>
        <w:t xml:space="preserve">  </w:t>
      </w:r>
      <w:r>
        <w:rPr>
          <w:rFonts w:hint="eastAsia" w:ascii="宋体" w:hAnsi="宋体" w:cs="宋体"/>
          <w:snapToGrid w:val="0"/>
          <w:kern w:val="0"/>
          <w:szCs w:val="21"/>
          <w:highlight w:val="yellow"/>
          <w:u w:val="single"/>
          <w:shd w:val="clear" w:color="auto" w:fill="FFFFFF"/>
        </w:rPr>
        <w:t xml:space="preserve">27 </w:t>
      </w:r>
      <w:r>
        <w:rPr>
          <w:rFonts w:hint="eastAsia" w:ascii="宋体" w:hAnsi="宋体" w:cs="宋体"/>
          <w:snapToGrid w:val="0"/>
          <w:kern w:val="0"/>
          <w:szCs w:val="21"/>
          <w:highlight w:val="yellow"/>
          <w:u w:val="single"/>
          <w:shd w:val="clear" w:color="auto" w:fill="FFFFFF"/>
          <w:lang w:val="zh-CN"/>
        </w:rPr>
        <w:t xml:space="preserve"> </w:t>
      </w:r>
      <w:r>
        <w:rPr>
          <w:rFonts w:hint="eastAsia" w:ascii="宋体" w:hAnsi="宋体" w:cs="宋体"/>
          <w:snapToGrid w:val="0"/>
          <w:kern w:val="0"/>
          <w:szCs w:val="21"/>
          <w:highlight w:val="yellow"/>
          <w:shd w:val="clear" w:color="auto" w:fill="FFFFFF"/>
          <w:lang w:val="zh-CN"/>
        </w:rPr>
        <w:t>日</w:t>
      </w:r>
      <w:r>
        <w:rPr>
          <w:rFonts w:hint="eastAsia" w:ascii="宋体" w:hAnsi="宋体" w:cs="宋体"/>
          <w:snapToGrid w:val="0"/>
          <w:kern w:val="0"/>
          <w:szCs w:val="21"/>
          <w:highlight w:val="yellow"/>
          <w:u w:val="single"/>
          <w:shd w:val="clear" w:color="auto" w:fill="FFFFFF"/>
          <w:lang w:val="zh-CN"/>
        </w:rPr>
        <w:t xml:space="preserve">  </w:t>
      </w:r>
      <w:r>
        <w:rPr>
          <w:rFonts w:hint="eastAsia" w:ascii="宋体" w:hAnsi="宋体" w:cs="宋体"/>
          <w:snapToGrid w:val="0"/>
          <w:kern w:val="0"/>
          <w:szCs w:val="21"/>
          <w:highlight w:val="yellow"/>
          <w:u w:val="single"/>
          <w:shd w:val="clear" w:color="auto" w:fill="FFFFFF"/>
        </w:rPr>
        <w:t>15</w:t>
      </w:r>
      <w:r>
        <w:rPr>
          <w:rFonts w:hint="eastAsia" w:ascii="宋体" w:hAnsi="宋体" w:cs="宋体"/>
          <w:snapToGrid w:val="0"/>
          <w:kern w:val="0"/>
          <w:szCs w:val="21"/>
          <w:highlight w:val="yellow"/>
          <w:u w:val="single"/>
          <w:shd w:val="clear" w:color="auto" w:fill="FFFFFF"/>
          <w:lang w:val="zh-CN"/>
        </w:rPr>
        <w:t xml:space="preserve">  </w:t>
      </w:r>
      <w:r>
        <w:rPr>
          <w:rFonts w:hint="eastAsia" w:ascii="宋体" w:hAnsi="宋体" w:cs="宋体"/>
          <w:snapToGrid w:val="0"/>
          <w:kern w:val="0"/>
          <w:szCs w:val="21"/>
          <w:highlight w:val="yellow"/>
          <w:shd w:val="clear" w:color="auto" w:fill="FFFFFF"/>
          <w:lang w:val="zh-CN"/>
        </w:rPr>
        <w:t>时</w:t>
      </w:r>
      <w:r>
        <w:rPr>
          <w:rFonts w:hint="eastAsia" w:ascii="宋体" w:hAnsi="宋体" w:cs="宋体"/>
          <w:snapToGrid w:val="0"/>
          <w:kern w:val="0"/>
          <w:szCs w:val="21"/>
          <w:highlight w:val="yellow"/>
          <w:u w:val="single"/>
          <w:shd w:val="clear" w:color="auto" w:fill="FFFFFF"/>
          <w:lang w:val="zh-CN"/>
        </w:rPr>
        <w:t xml:space="preserve"> </w:t>
      </w:r>
      <w:r>
        <w:rPr>
          <w:rFonts w:hint="eastAsia" w:ascii="宋体" w:hAnsi="宋体" w:cs="宋体"/>
          <w:snapToGrid w:val="0"/>
          <w:kern w:val="0"/>
          <w:szCs w:val="21"/>
          <w:highlight w:val="yellow"/>
          <w:u w:val="single"/>
          <w:shd w:val="clear" w:color="auto" w:fill="FFFFFF"/>
        </w:rPr>
        <w:t xml:space="preserve"> 00</w:t>
      </w:r>
      <w:r>
        <w:rPr>
          <w:rFonts w:hint="eastAsia" w:ascii="宋体" w:hAnsi="宋体" w:cs="宋体"/>
          <w:snapToGrid w:val="0"/>
          <w:kern w:val="0"/>
          <w:szCs w:val="21"/>
          <w:highlight w:val="yellow"/>
          <w:u w:val="single"/>
          <w:shd w:val="clear" w:color="auto" w:fill="FFFFFF"/>
          <w:lang w:val="zh-CN"/>
        </w:rPr>
        <w:t xml:space="preserve">    </w:t>
      </w:r>
      <w:r>
        <w:rPr>
          <w:rFonts w:hint="eastAsia" w:ascii="宋体" w:hAnsi="宋体" w:cs="宋体"/>
          <w:snapToGrid w:val="0"/>
          <w:kern w:val="0"/>
          <w:szCs w:val="21"/>
          <w:highlight w:val="yellow"/>
          <w:shd w:val="clear" w:color="auto" w:fill="FFFFFF"/>
          <w:lang w:val="zh-CN"/>
        </w:rPr>
        <w:t>分</w:t>
      </w:r>
      <w:r>
        <w:rPr>
          <w:rFonts w:hint="eastAsia" w:ascii="宋体" w:hAnsi="宋体" w:cs="宋体"/>
          <w:snapToGrid w:val="0"/>
          <w:kern w:val="0"/>
          <w:szCs w:val="21"/>
          <w:shd w:val="clear" w:color="auto" w:fill="FFFFFF"/>
          <w:lang w:val="zh-CN"/>
        </w:rPr>
        <w:t>。</w:t>
      </w:r>
    </w:p>
    <w:p w14:paraId="02970674">
      <w:pPr>
        <w:tabs>
          <w:tab w:val="left" w:leader="underscore" w:pos="4163"/>
          <w:tab w:val="left" w:leader="underscore" w:pos="6506"/>
        </w:tabs>
        <w:adjustRightInd w:val="0"/>
        <w:spacing w:line="360" w:lineRule="auto"/>
        <w:ind w:firstLine="420" w:firstLineChars="200"/>
        <w:rPr>
          <w:rFonts w:hint="eastAsia" w:ascii="宋体" w:hAnsi="宋体" w:cs="宋体"/>
          <w:snapToGrid w:val="0"/>
          <w:kern w:val="0"/>
          <w:szCs w:val="21"/>
          <w:shd w:val="clear" w:color="auto" w:fill="FFFFFF"/>
        </w:rPr>
      </w:pPr>
      <w:r>
        <w:rPr>
          <w:rFonts w:hint="eastAsia" w:ascii="宋体" w:hAnsi="宋体" w:cs="宋体"/>
          <w:snapToGrid w:val="0"/>
          <w:kern w:val="0"/>
          <w:szCs w:val="21"/>
          <w:shd w:val="clear" w:color="auto" w:fill="FFFFFF"/>
        </w:rPr>
        <w:t xml:space="preserve">4.2 </w:t>
      </w:r>
      <w:r>
        <w:rPr>
          <w:rFonts w:hint="eastAsia" w:ascii="宋体" w:hAnsi="宋体" w:cs="宋体"/>
          <w:snapToGrid w:val="0"/>
          <w:kern w:val="0"/>
          <w:szCs w:val="21"/>
          <w:shd w:val="clear" w:color="auto" w:fill="FFFFFF"/>
          <w:lang w:val="zh-CN"/>
        </w:rPr>
        <w:t>获取方式</w:t>
      </w:r>
      <w:r>
        <w:rPr>
          <w:rFonts w:hint="eastAsia" w:ascii="宋体" w:hAnsi="宋体" w:cs="宋体"/>
          <w:snapToGrid w:val="0"/>
          <w:kern w:val="0"/>
          <w:szCs w:val="21"/>
          <w:shd w:val="clear" w:color="auto" w:fill="FFFFFF"/>
        </w:rPr>
        <w:t>：</w:t>
      </w:r>
    </w:p>
    <w:p w14:paraId="76DF54EC">
      <w:pPr>
        <w:tabs>
          <w:tab w:val="left" w:leader="underscore" w:pos="4163"/>
          <w:tab w:val="left" w:leader="underscore" w:pos="6506"/>
        </w:tabs>
        <w:adjustRightInd w:val="0"/>
        <w:spacing w:line="360" w:lineRule="auto"/>
        <w:ind w:firstLine="420" w:firstLineChars="200"/>
        <w:rPr>
          <w:rFonts w:hint="eastAsia" w:ascii="宋体" w:hAnsi="宋体" w:cs="宋体"/>
          <w:bCs/>
          <w:snapToGrid w:val="0"/>
          <w:kern w:val="0"/>
          <w:szCs w:val="21"/>
          <w:shd w:val="clear" w:color="auto" w:fill="FFFFFF"/>
        </w:rPr>
      </w:pPr>
      <w:r>
        <w:rPr>
          <w:rFonts w:hint="eastAsia" w:ascii="宋体" w:hAnsi="宋体" w:cs="宋体"/>
          <w:snapToGrid w:val="0"/>
          <w:kern w:val="0"/>
          <w:szCs w:val="21"/>
          <w:shd w:val="clear" w:color="auto" w:fill="FFFFFF"/>
        </w:rPr>
        <w:t>（1）登录</w:t>
      </w:r>
      <w:r>
        <w:rPr>
          <w:rFonts w:hint="eastAsia" w:ascii="宋体" w:hAnsi="宋体" w:cs="宋体"/>
          <w:szCs w:val="21"/>
          <w:u w:val="single"/>
        </w:rPr>
        <w:t>合肥热电集团有限公司官网（http://www.hfrdjt.com/web/index.jsp）</w:t>
      </w:r>
      <w:r>
        <w:rPr>
          <w:rFonts w:hint="eastAsia" w:ascii="宋体" w:hAnsi="宋体" w:cs="宋体"/>
          <w:bCs/>
          <w:snapToGrid w:val="0"/>
          <w:kern w:val="0"/>
          <w:szCs w:val="21"/>
          <w:shd w:val="clear" w:color="auto" w:fill="FFFFFF"/>
        </w:rPr>
        <w:t>获取。</w:t>
      </w:r>
    </w:p>
    <w:p w14:paraId="70C9D832">
      <w:pPr>
        <w:tabs>
          <w:tab w:val="left" w:leader="underscore" w:pos="4163"/>
          <w:tab w:val="left" w:leader="underscore" w:pos="6506"/>
        </w:tabs>
        <w:adjustRightInd w:val="0"/>
        <w:spacing w:line="360" w:lineRule="auto"/>
        <w:ind w:firstLine="420" w:firstLineChars="200"/>
        <w:rPr>
          <w:rFonts w:hint="eastAsia" w:ascii="宋体" w:hAnsi="宋体" w:cs="宋体"/>
          <w:bCs/>
          <w:snapToGrid w:val="0"/>
          <w:kern w:val="0"/>
          <w:szCs w:val="21"/>
        </w:rPr>
      </w:pPr>
      <w:r>
        <w:rPr>
          <w:rFonts w:hint="eastAsia" w:ascii="宋体" w:hAnsi="宋体" w:cs="宋体"/>
          <w:bCs/>
          <w:snapToGrid w:val="0"/>
          <w:kern w:val="0"/>
          <w:szCs w:val="21"/>
          <w:shd w:val="clear" w:color="auto" w:fill="FFFFFF"/>
        </w:rPr>
        <w:t>（2）</w:t>
      </w:r>
      <w:r>
        <w:rPr>
          <w:rFonts w:hint="eastAsia" w:ascii="宋体" w:hAnsi="宋体" w:cs="宋体"/>
          <w:bCs/>
          <w:snapToGrid w:val="0"/>
          <w:kern w:val="0"/>
          <w:szCs w:val="21"/>
        </w:rPr>
        <w:t>招标文件获取过程中有任何疑问，请在工作时间（周一至周五，上午9:00-11:00，下午2:30-5:00，节假日休息）拨打0551-63545980。</w:t>
      </w:r>
    </w:p>
    <w:p w14:paraId="0A77EDAE">
      <w:pPr>
        <w:tabs>
          <w:tab w:val="left" w:leader="underscore" w:pos="4163"/>
          <w:tab w:val="left" w:leader="underscore" w:pos="6506"/>
        </w:tabs>
        <w:adjustRightInd w:val="0"/>
        <w:spacing w:line="360" w:lineRule="auto"/>
        <w:ind w:firstLine="420" w:firstLineChars="200"/>
      </w:pPr>
      <w:r>
        <w:rPr>
          <w:rFonts w:hint="eastAsia" w:ascii="宋体" w:hAnsi="宋体" w:cs="宋体"/>
          <w:snapToGrid w:val="0"/>
          <w:kern w:val="0"/>
          <w:szCs w:val="21"/>
          <w:shd w:val="clear" w:color="auto" w:fill="FFFFFF"/>
        </w:rPr>
        <w:t xml:space="preserve">4.3 </w:t>
      </w:r>
      <w:r>
        <w:rPr>
          <w:rFonts w:hint="eastAsia" w:ascii="宋体" w:hAnsi="宋体" w:cs="宋体"/>
          <w:snapToGrid w:val="0"/>
          <w:kern w:val="0"/>
          <w:szCs w:val="21"/>
          <w:shd w:val="clear" w:color="auto" w:fill="FFFFFF"/>
          <w:lang w:val="zh-CN"/>
        </w:rPr>
        <w:t>招标文件</w:t>
      </w:r>
      <w:r>
        <w:rPr>
          <w:rFonts w:hint="eastAsia" w:ascii="宋体" w:hAnsi="宋体" w:cs="宋体"/>
          <w:snapToGrid w:val="0"/>
          <w:kern w:val="0"/>
          <w:szCs w:val="21"/>
          <w:shd w:val="clear" w:color="auto" w:fill="FFFFFF"/>
        </w:rPr>
        <w:t>免费获取。</w:t>
      </w:r>
    </w:p>
    <w:p w14:paraId="35E5D4E6">
      <w:pPr>
        <w:pStyle w:val="3"/>
        <w:spacing w:line="360" w:lineRule="auto"/>
        <w:rPr>
          <w:rFonts w:ascii="Times New Roman" w:hAnsi="Times New Roman" w:eastAsia="黑体"/>
          <w:snapToGrid w:val="0"/>
          <w:sz w:val="24"/>
          <w:szCs w:val="24"/>
          <w:shd w:val="clear" w:color="auto" w:fill="FFFFFF"/>
          <w:lang w:val="zh-CN"/>
        </w:rPr>
      </w:pPr>
      <w:bookmarkStart w:id="31" w:name="_Toc32394"/>
      <w:bookmarkStart w:id="32" w:name="_Toc36119708"/>
      <w:bookmarkStart w:id="33" w:name="_Toc18960"/>
      <w:bookmarkStart w:id="34" w:name="_Toc2329"/>
      <w:bookmarkStart w:id="35" w:name="_Toc1665"/>
      <w:bookmarkStart w:id="36" w:name="_Toc5335"/>
      <w:bookmarkStart w:id="37" w:name="_Toc15606"/>
      <w:bookmarkStart w:id="38" w:name="_Toc19910"/>
      <w:r>
        <w:rPr>
          <w:rFonts w:hint="eastAsia" w:ascii="Times New Roman" w:hAnsi="Times New Roman" w:eastAsia="黑体"/>
          <w:snapToGrid w:val="0"/>
          <w:sz w:val="24"/>
          <w:szCs w:val="24"/>
          <w:shd w:val="clear" w:color="auto" w:fill="FFFFFF"/>
        </w:rPr>
        <w:t>5</w:t>
      </w:r>
      <w:r>
        <w:rPr>
          <w:rFonts w:ascii="Times New Roman" w:hAnsi="Times New Roman" w:eastAsia="黑体"/>
          <w:snapToGrid w:val="0"/>
          <w:sz w:val="24"/>
          <w:szCs w:val="24"/>
          <w:shd w:val="clear" w:color="auto" w:fill="FFFFFF"/>
          <w:lang w:val="zh-CN"/>
        </w:rPr>
        <w:t>.</w:t>
      </w:r>
      <w:r>
        <w:rPr>
          <w:rFonts w:hint="eastAsia" w:ascii="Times New Roman" w:hAnsi="Times New Roman" w:eastAsia="黑体"/>
          <w:snapToGrid w:val="0"/>
          <w:sz w:val="24"/>
          <w:szCs w:val="24"/>
          <w:shd w:val="clear" w:color="auto" w:fill="FFFFFF"/>
          <w:lang w:val="zh-CN"/>
        </w:rPr>
        <w:t xml:space="preserve"> 开标</w:t>
      </w:r>
      <w:r>
        <w:rPr>
          <w:rFonts w:ascii="Times New Roman" w:hAnsi="Times New Roman" w:eastAsia="黑体"/>
          <w:snapToGrid w:val="0"/>
          <w:sz w:val="24"/>
          <w:szCs w:val="24"/>
          <w:shd w:val="clear" w:color="auto" w:fill="FFFFFF"/>
          <w:lang w:val="zh-CN"/>
        </w:rPr>
        <w:t>时间</w:t>
      </w:r>
      <w:r>
        <w:rPr>
          <w:rFonts w:hint="eastAsia" w:ascii="Times New Roman" w:hAnsi="Times New Roman" w:eastAsia="黑体"/>
          <w:snapToGrid w:val="0"/>
          <w:sz w:val="24"/>
          <w:szCs w:val="24"/>
          <w:shd w:val="clear" w:color="auto" w:fill="FFFFFF"/>
          <w:lang w:val="zh-CN"/>
        </w:rPr>
        <w:t>、</w:t>
      </w:r>
      <w:r>
        <w:rPr>
          <w:rFonts w:ascii="Times New Roman" w:hAnsi="Times New Roman" w:eastAsia="黑体"/>
          <w:snapToGrid w:val="0"/>
          <w:sz w:val="24"/>
          <w:szCs w:val="24"/>
          <w:shd w:val="clear" w:color="auto" w:fill="FFFFFF"/>
          <w:lang w:val="zh-CN"/>
        </w:rPr>
        <w:t>地点及</w:t>
      </w:r>
      <w:r>
        <w:rPr>
          <w:rFonts w:hint="eastAsia" w:ascii="Times New Roman" w:hAnsi="Times New Roman" w:eastAsia="黑体"/>
          <w:snapToGrid w:val="0"/>
          <w:sz w:val="24"/>
          <w:szCs w:val="24"/>
          <w:shd w:val="clear" w:color="auto" w:fill="FFFFFF"/>
          <w:lang w:val="zh-CN"/>
        </w:rPr>
        <w:t>投标文件的递交</w:t>
      </w:r>
      <w:bookmarkEnd w:id="31"/>
      <w:bookmarkEnd w:id="32"/>
      <w:bookmarkEnd w:id="33"/>
      <w:bookmarkEnd w:id="34"/>
      <w:bookmarkEnd w:id="35"/>
      <w:bookmarkEnd w:id="36"/>
      <w:bookmarkEnd w:id="37"/>
      <w:bookmarkEnd w:id="38"/>
    </w:p>
    <w:p w14:paraId="4D25473B">
      <w:pPr>
        <w:spacing w:line="360" w:lineRule="auto"/>
        <w:ind w:firstLine="420"/>
        <w:rPr>
          <w:szCs w:val="21"/>
        </w:rPr>
      </w:pPr>
      <w:r>
        <w:rPr>
          <w:szCs w:val="21"/>
        </w:rPr>
        <w:t>5.1 开标时间（投标截止时间、投标文件递交的截止时间，下同）：</w:t>
      </w:r>
      <w:r>
        <w:rPr>
          <w:szCs w:val="21"/>
          <w:u w:val="single"/>
        </w:rPr>
        <w:t xml:space="preserve"> </w:t>
      </w:r>
      <w:r>
        <w:rPr>
          <w:szCs w:val="21"/>
          <w:u w:val="single"/>
          <w:shd w:val="clear" w:color="auto" w:fill="FFFF00"/>
        </w:rPr>
        <w:t xml:space="preserve">2025 年 </w:t>
      </w:r>
      <w:r>
        <w:rPr>
          <w:rFonts w:hint="eastAsia"/>
          <w:szCs w:val="21"/>
          <w:u w:val="single"/>
          <w:shd w:val="clear" w:color="auto" w:fill="FFFF00"/>
        </w:rPr>
        <w:t xml:space="preserve">4 </w:t>
      </w:r>
      <w:r>
        <w:rPr>
          <w:szCs w:val="21"/>
          <w:u w:val="single"/>
          <w:shd w:val="clear" w:color="auto" w:fill="FFFF00"/>
        </w:rPr>
        <w:t>月</w:t>
      </w:r>
      <w:r>
        <w:rPr>
          <w:rFonts w:hint="eastAsia"/>
          <w:szCs w:val="21"/>
          <w:u w:val="single"/>
          <w:shd w:val="clear" w:color="auto" w:fill="FFFF00"/>
        </w:rPr>
        <w:t xml:space="preserve"> 27 </w:t>
      </w:r>
      <w:r>
        <w:rPr>
          <w:szCs w:val="21"/>
          <w:u w:val="single"/>
          <w:shd w:val="clear" w:color="auto" w:fill="FFFF00"/>
        </w:rPr>
        <w:t xml:space="preserve">日 </w:t>
      </w:r>
      <w:r>
        <w:rPr>
          <w:rFonts w:hint="eastAsia"/>
          <w:szCs w:val="21"/>
          <w:u w:val="single"/>
          <w:shd w:val="clear" w:color="auto" w:fill="FFFF00"/>
        </w:rPr>
        <w:t>15</w:t>
      </w:r>
      <w:r>
        <w:rPr>
          <w:szCs w:val="21"/>
          <w:u w:val="single"/>
          <w:shd w:val="clear" w:color="auto" w:fill="FFFF00"/>
        </w:rPr>
        <w:t xml:space="preserve"> 时</w:t>
      </w:r>
      <w:r>
        <w:rPr>
          <w:rFonts w:hint="eastAsia"/>
          <w:szCs w:val="21"/>
          <w:u w:val="single"/>
          <w:shd w:val="clear" w:color="auto" w:fill="FFFF00"/>
        </w:rPr>
        <w:t xml:space="preserve"> 00  </w:t>
      </w:r>
      <w:r>
        <w:rPr>
          <w:szCs w:val="21"/>
          <w:u w:val="single"/>
          <w:shd w:val="clear" w:color="auto" w:fill="FFFF00"/>
        </w:rPr>
        <w:t>分</w:t>
      </w:r>
      <w:r>
        <w:rPr>
          <w:szCs w:val="21"/>
        </w:rPr>
        <w:t>；</w:t>
      </w:r>
    </w:p>
    <w:p w14:paraId="2A2A8DCF">
      <w:pPr>
        <w:spacing w:line="360" w:lineRule="auto"/>
        <w:ind w:firstLine="420"/>
        <w:rPr>
          <w:szCs w:val="21"/>
          <w:u w:val="single"/>
        </w:rPr>
      </w:pPr>
      <w:r>
        <w:rPr>
          <w:szCs w:val="21"/>
        </w:rPr>
        <w:t xml:space="preserve">5.2 </w:t>
      </w:r>
      <w:r>
        <w:rPr>
          <w:rFonts w:hint="eastAsia" w:ascii="宋体" w:hAnsi="宋体" w:cs="宋体"/>
          <w:szCs w:val="21"/>
        </w:rPr>
        <w:t>投标文件递交地点：</w:t>
      </w:r>
      <w:r>
        <w:rPr>
          <w:rFonts w:hint="eastAsia" w:ascii="宋体" w:hAnsi="宋体" w:cs="宋体"/>
          <w:szCs w:val="21"/>
          <w:u w:val="single"/>
        </w:rPr>
        <w:t>合肥市包河区关麓路与汤泉路交口向西100米 安徽虹达道路桥梁工程有限公司</w:t>
      </w:r>
      <w:r>
        <w:rPr>
          <w:rFonts w:hint="eastAsia" w:ascii="宋体" w:hAnsi="宋体" w:cs="宋体"/>
          <w:snapToGrid w:val="0"/>
          <w:kern w:val="0"/>
          <w:szCs w:val="21"/>
          <w:u w:val="single"/>
          <w:shd w:val="clear" w:color="auto" w:fill="FFFFFF"/>
        </w:rPr>
        <w:t xml:space="preserve"> 1楼 开标室。 </w:t>
      </w:r>
    </w:p>
    <w:p w14:paraId="3D8EFCD7">
      <w:pPr>
        <w:spacing w:line="360" w:lineRule="auto"/>
        <w:ind w:firstLine="420"/>
        <w:rPr>
          <w:szCs w:val="21"/>
        </w:rPr>
      </w:pPr>
      <w:r>
        <w:rPr>
          <w:szCs w:val="21"/>
        </w:rPr>
        <w:t>5.3 密封投标文件的递交：投标人下载电子版招标资料，于投标截止时间前递交纸质版投标文件（自招标文件发布至投标截止时间期间的工作时间提交，工作日的</w:t>
      </w:r>
      <w:r>
        <w:rPr>
          <w:rFonts w:hint="eastAsia"/>
          <w:szCs w:val="21"/>
        </w:rPr>
        <w:t>9</w:t>
      </w:r>
      <w:r>
        <w:rPr>
          <w:szCs w:val="21"/>
        </w:rPr>
        <w:t>:</w:t>
      </w:r>
      <w:r>
        <w:rPr>
          <w:rFonts w:hint="eastAsia"/>
          <w:szCs w:val="21"/>
        </w:rPr>
        <w:t>00</w:t>
      </w:r>
      <w:r>
        <w:rPr>
          <w:szCs w:val="21"/>
        </w:rPr>
        <w:t>-11:00,</w:t>
      </w:r>
      <w:r>
        <w:rPr>
          <w:rFonts w:hint="eastAsia"/>
          <w:szCs w:val="21"/>
        </w:rPr>
        <w:t>14</w:t>
      </w:r>
      <w:r>
        <w:rPr>
          <w:szCs w:val="21"/>
        </w:rPr>
        <w:t>:</w:t>
      </w:r>
      <w:r>
        <w:rPr>
          <w:rFonts w:hint="eastAsia"/>
          <w:szCs w:val="21"/>
        </w:rPr>
        <w:t>3</w:t>
      </w:r>
      <w:r>
        <w:rPr>
          <w:szCs w:val="21"/>
        </w:rPr>
        <w:t>0-17:00）。</w:t>
      </w:r>
    </w:p>
    <w:p w14:paraId="31869840">
      <w:pPr>
        <w:spacing w:line="360" w:lineRule="auto"/>
        <w:ind w:firstLine="420"/>
        <w:rPr>
          <w:shd w:val="clear" w:color="auto" w:fill="FFFF00"/>
        </w:rPr>
      </w:pPr>
      <w:r>
        <w:rPr>
          <w:szCs w:val="21"/>
        </w:rPr>
        <w:t>5.4投标文件要求：上述要求的营业执照、资质证书、安全生产许可证等文件提供复印件并加盖公章，投标资料需盖公章。</w:t>
      </w:r>
      <w:r>
        <w:rPr>
          <w:szCs w:val="21"/>
          <w:shd w:val="clear" w:color="auto" w:fill="FFFF00"/>
        </w:rPr>
        <w:t>投标文件正本一份，副本二份，商务标和技术标分别密封提交。</w:t>
      </w:r>
    </w:p>
    <w:p w14:paraId="138BA86B">
      <w:pPr>
        <w:spacing w:line="360" w:lineRule="auto"/>
        <w:ind w:firstLine="420"/>
      </w:pPr>
      <w:r>
        <w:rPr>
          <w:szCs w:val="21"/>
        </w:rPr>
        <w:t>5.5逾期递交的或者未按指定方式递交的投标文件，招标人将不予接收。</w:t>
      </w:r>
    </w:p>
    <w:p w14:paraId="6FC8CA30">
      <w:pPr>
        <w:pStyle w:val="3"/>
        <w:spacing w:line="360" w:lineRule="auto"/>
        <w:rPr>
          <w:rFonts w:ascii="Times New Roman" w:hAnsi="Times New Roman" w:eastAsia="黑体"/>
          <w:sz w:val="24"/>
          <w:szCs w:val="24"/>
        </w:rPr>
      </w:pPr>
      <w:bookmarkStart w:id="39" w:name="_Toc20859"/>
      <w:bookmarkEnd w:id="39"/>
      <w:bookmarkStart w:id="40" w:name="_Toc5863"/>
      <w:bookmarkEnd w:id="40"/>
      <w:bookmarkStart w:id="41" w:name="_Toc32160"/>
      <w:bookmarkEnd w:id="41"/>
      <w:bookmarkStart w:id="42" w:name="_Toc7205"/>
      <w:r>
        <w:rPr>
          <w:rFonts w:hint="eastAsia" w:ascii="Times New Roman" w:hAnsi="Times New Roman" w:eastAsia="黑体"/>
          <w:sz w:val="24"/>
          <w:szCs w:val="24"/>
        </w:rPr>
        <w:t>6</w:t>
      </w:r>
      <w:r>
        <w:rPr>
          <w:rFonts w:ascii="Times New Roman" w:hAnsi="Times New Roman" w:eastAsia="黑体"/>
          <w:sz w:val="24"/>
          <w:szCs w:val="24"/>
        </w:rPr>
        <w:t>.</w:t>
      </w:r>
      <w:r>
        <w:rPr>
          <w:rFonts w:hint="eastAsia" w:ascii="Times New Roman" w:hAnsi="Times New Roman" w:eastAsia="黑体"/>
          <w:sz w:val="24"/>
          <w:szCs w:val="24"/>
        </w:rPr>
        <w:t xml:space="preserve"> </w:t>
      </w:r>
      <w:r>
        <w:rPr>
          <w:rFonts w:ascii="Times New Roman" w:hAnsi="Times New Roman" w:eastAsia="黑体"/>
          <w:sz w:val="24"/>
          <w:szCs w:val="24"/>
        </w:rPr>
        <w:t>联系方式</w:t>
      </w:r>
    </w:p>
    <w:p w14:paraId="050191EC">
      <w:pPr>
        <w:tabs>
          <w:tab w:val="left" w:leader="underscore" w:pos="2675"/>
        </w:tabs>
        <w:spacing w:line="360" w:lineRule="auto"/>
        <w:ind w:firstLine="420"/>
        <w:jc w:val="left"/>
        <w:rPr>
          <w:szCs w:val="21"/>
        </w:rPr>
      </w:pPr>
      <w:r>
        <w:rPr>
          <w:rFonts w:hint="eastAsia"/>
          <w:szCs w:val="21"/>
        </w:rPr>
        <w:t>招标</w:t>
      </w:r>
      <w:r>
        <w:rPr>
          <w:szCs w:val="21"/>
        </w:rPr>
        <w:t>部门联系人_</w:t>
      </w:r>
      <w:r>
        <w:rPr>
          <w:szCs w:val="21"/>
          <w:u w:val="single"/>
        </w:rPr>
        <w:t>_侍工_</w:t>
      </w:r>
      <w:r>
        <w:rPr>
          <w:szCs w:val="21"/>
        </w:rPr>
        <w:t>___</w:t>
      </w:r>
    </w:p>
    <w:p w14:paraId="2847AF3A">
      <w:pPr>
        <w:tabs>
          <w:tab w:val="left" w:leader="underscore" w:pos="2675"/>
        </w:tabs>
        <w:spacing w:line="360" w:lineRule="auto"/>
        <w:ind w:firstLine="420"/>
        <w:jc w:val="left"/>
        <w:rPr>
          <w:szCs w:val="21"/>
          <w:u w:val="single"/>
        </w:rPr>
      </w:pPr>
      <w:r>
        <w:rPr>
          <w:szCs w:val="21"/>
        </w:rPr>
        <w:t>联系人电话</w:t>
      </w:r>
      <w:r>
        <w:rPr>
          <w:szCs w:val="21"/>
          <w:u w:val="single"/>
        </w:rPr>
        <w:t xml:space="preserve"> 0551-63545980 </w:t>
      </w:r>
    </w:p>
    <w:p w14:paraId="611A0927">
      <w:pPr>
        <w:pStyle w:val="3"/>
        <w:spacing w:line="360" w:lineRule="auto"/>
        <w:rPr>
          <w:rFonts w:ascii="Times New Roman" w:hAnsi="Times New Roman" w:eastAsia="黑体"/>
          <w:sz w:val="24"/>
          <w:szCs w:val="24"/>
        </w:rPr>
      </w:pPr>
      <w:bookmarkStart w:id="43" w:name="_Toc36050994"/>
      <w:bookmarkEnd w:id="43"/>
      <w:bookmarkStart w:id="44" w:name="_Toc18207"/>
      <w:bookmarkEnd w:id="44"/>
      <w:bookmarkStart w:id="45" w:name="_Toc4911"/>
      <w:bookmarkEnd w:id="45"/>
      <w:bookmarkStart w:id="46" w:name="_Toc36119711"/>
      <w:bookmarkEnd w:id="46"/>
      <w:bookmarkStart w:id="47" w:name="_Toc22676"/>
      <w:bookmarkEnd w:id="47"/>
      <w:r>
        <w:rPr>
          <w:rFonts w:hint="eastAsia" w:ascii="Times New Roman" w:hAnsi="Times New Roman" w:eastAsia="黑体"/>
          <w:sz w:val="24"/>
          <w:szCs w:val="24"/>
        </w:rPr>
        <w:t>7. 询标注意事项</w:t>
      </w:r>
    </w:p>
    <w:p w14:paraId="3EDE0924">
      <w:pPr>
        <w:spacing w:line="360" w:lineRule="auto"/>
        <w:ind w:firstLine="420"/>
      </w:pPr>
      <w:r>
        <w:rPr>
          <w:szCs w:val="21"/>
        </w:rPr>
        <w:t>对于投标中存在疑虑需要询标的，评标委员会可以通过邮箱、电话等形式询问，投标人将需要澄清、说明或补正的内容以询标函的形式发送给投标人，投标人应保持联系，以便及时接收评标委员会可能发出的询标函，并在规定时间内回复（15分钟），若投标人未及时回复，视为放弃澄清。</w:t>
      </w:r>
    </w:p>
    <w:p w14:paraId="67117A19">
      <w:pPr>
        <w:rPr>
          <w:rFonts w:eastAsia="黑体"/>
          <w:snapToGrid w:val="0"/>
          <w:color w:val="000000"/>
          <w:kern w:val="44"/>
          <w:sz w:val="44"/>
          <w:szCs w:val="42"/>
          <w:lang w:val="zh-CN"/>
        </w:rPr>
      </w:pPr>
      <w:r>
        <w:rPr>
          <w:rFonts w:hint="eastAsia" w:eastAsia="黑体"/>
          <w:snapToGrid w:val="0"/>
          <w:color w:val="000000"/>
          <w:kern w:val="44"/>
          <w:sz w:val="44"/>
          <w:szCs w:val="42"/>
          <w:lang w:val="zh-CN"/>
        </w:rPr>
        <w:br w:type="page"/>
      </w:r>
    </w:p>
    <w:p w14:paraId="248610FD">
      <w:pPr>
        <w:pStyle w:val="21"/>
        <w:keepNext/>
        <w:keepLines/>
        <w:shd w:val="clear" w:color="auto" w:fill="auto"/>
        <w:spacing w:after="586" w:line="240" w:lineRule="auto"/>
        <w:ind w:left="20"/>
        <w:outlineLvl w:val="0"/>
        <w:rPr>
          <w:rFonts w:ascii="Times New Roman"/>
          <w:snapToGrid w:val="0"/>
          <w:sz w:val="36"/>
          <w:szCs w:val="36"/>
        </w:rPr>
      </w:pPr>
      <w:r>
        <w:rPr>
          <w:rFonts w:hint="eastAsia" w:ascii="Times New Roman" w:eastAsia="黑体"/>
          <w:bCs w:val="0"/>
          <w:snapToGrid w:val="0"/>
          <w:color w:val="000000"/>
          <w:kern w:val="44"/>
          <w:sz w:val="44"/>
          <w:szCs w:val="42"/>
          <w:lang w:val="zh-CN"/>
        </w:rPr>
        <w:t>第二章</w:t>
      </w:r>
      <w:r>
        <w:rPr>
          <w:rFonts w:ascii="Times New Roman" w:eastAsia="黑体"/>
          <w:bCs w:val="0"/>
          <w:snapToGrid w:val="0"/>
          <w:color w:val="000000"/>
          <w:kern w:val="44"/>
          <w:sz w:val="44"/>
          <w:szCs w:val="42"/>
          <w:lang w:val="zh-CN"/>
        </w:rPr>
        <w:t xml:space="preserve"> </w:t>
      </w:r>
      <w:r>
        <w:rPr>
          <w:rFonts w:hint="eastAsia" w:ascii="Times New Roman" w:eastAsia="黑体"/>
          <w:bCs w:val="0"/>
          <w:snapToGrid w:val="0"/>
          <w:color w:val="000000"/>
          <w:kern w:val="44"/>
          <w:sz w:val="44"/>
          <w:szCs w:val="42"/>
          <w:lang w:val="zh-CN"/>
        </w:rPr>
        <w:t>投标人须知</w:t>
      </w:r>
      <w:bookmarkEnd w:id="42"/>
    </w:p>
    <w:p w14:paraId="46466FB5">
      <w:pPr>
        <w:pStyle w:val="3"/>
        <w:jc w:val="center"/>
        <w:rPr>
          <w:rFonts w:ascii="Times New Roman" w:hAnsi="Times New Roman" w:eastAsia="黑体"/>
          <w:b w:val="0"/>
          <w:snapToGrid w:val="0"/>
          <w:szCs w:val="28"/>
          <w:shd w:val="clear" w:color="auto" w:fill="FFFFFF"/>
          <w:lang w:val="zh-CN"/>
        </w:rPr>
      </w:pPr>
      <w:bookmarkStart w:id="48" w:name="_Toc36119723"/>
      <w:bookmarkStart w:id="49" w:name="_Toc28955"/>
      <w:bookmarkStart w:id="50" w:name="_Toc31045"/>
      <w:bookmarkStart w:id="51" w:name="_Toc11086"/>
      <w:bookmarkStart w:id="52" w:name="_Toc11903"/>
      <w:bookmarkStart w:id="53" w:name="_Toc25776"/>
      <w:bookmarkStart w:id="54" w:name="_Toc24964"/>
      <w:bookmarkStart w:id="55" w:name="_Toc4803"/>
      <w:bookmarkStart w:id="56" w:name="bookmark25"/>
      <w:r>
        <w:rPr>
          <w:rFonts w:ascii="Times New Roman" w:hAnsi="Times New Roman" w:eastAsia="黑体"/>
          <w:b w:val="0"/>
          <w:snapToGrid w:val="0"/>
          <w:szCs w:val="28"/>
          <w:shd w:val="clear" w:color="auto" w:fill="FFFFFF"/>
          <w:lang w:val="zh-CN"/>
        </w:rPr>
        <w:t>投标人须知前附表</w:t>
      </w:r>
      <w:bookmarkEnd w:id="48"/>
      <w:bookmarkEnd w:id="49"/>
      <w:bookmarkEnd w:id="50"/>
      <w:bookmarkEnd w:id="51"/>
      <w:bookmarkEnd w:id="52"/>
      <w:bookmarkEnd w:id="53"/>
      <w:bookmarkEnd w:id="54"/>
      <w:bookmarkEnd w:id="55"/>
    </w:p>
    <w:tbl>
      <w:tblPr>
        <w:tblStyle w:val="17"/>
        <w:tblW w:w="9039" w:type="dxa"/>
        <w:jc w:val="center"/>
        <w:tblLayout w:type="fixed"/>
        <w:tblCellMar>
          <w:top w:w="0" w:type="dxa"/>
          <w:left w:w="108" w:type="dxa"/>
          <w:bottom w:w="0" w:type="dxa"/>
          <w:right w:w="108" w:type="dxa"/>
        </w:tblCellMar>
      </w:tblPr>
      <w:tblGrid>
        <w:gridCol w:w="1241"/>
        <w:gridCol w:w="1726"/>
        <w:gridCol w:w="6072"/>
      </w:tblGrid>
      <w:tr w14:paraId="493085F6">
        <w:tblPrEx>
          <w:tblCellMar>
            <w:top w:w="0" w:type="dxa"/>
            <w:left w:w="108" w:type="dxa"/>
            <w:bottom w:w="0" w:type="dxa"/>
            <w:right w:w="108" w:type="dxa"/>
          </w:tblCellMar>
        </w:tblPrEx>
        <w:trPr>
          <w:trHeight w:val="666" w:hRule="atLeast"/>
          <w:jc w:val="center"/>
        </w:trPr>
        <w:tc>
          <w:tcPr>
            <w:tcW w:w="1241" w:type="dxa"/>
            <w:tcBorders>
              <w:top w:val="single" w:color="auto" w:sz="4" w:space="0"/>
              <w:left w:val="single" w:color="auto" w:sz="4" w:space="0"/>
              <w:bottom w:val="single" w:color="auto" w:sz="4" w:space="0"/>
              <w:right w:val="single" w:color="auto" w:sz="4" w:space="0"/>
            </w:tcBorders>
            <w:vAlign w:val="center"/>
          </w:tcPr>
          <w:p w14:paraId="17385CA1">
            <w:pPr>
              <w:spacing w:line="360" w:lineRule="auto"/>
              <w:jc w:val="center"/>
              <w:rPr>
                <w:b/>
                <w:szCs w:val="21"/>
              </w:rPr>
            </w:pPr>
            <w:r>
              <w:rPr>
                <w:b/>
                <w:szCs w:val="21"/>
              </w:rPr>
              <w:t>条款号</w:t>
            </w:r>
          </w:p>
        </w:tc>
        <w:tc>
          <w:tcPr>
            <w:tcW w:w="1726" w:type="dxa"/>
            <w:tcBorders>
              <w:top w:val="single" w:color="auto" w:sz="4" w:space="0"/>
              <w:left w:val="single" w:color="auto" w:sz="4" w:space="0"/>
              <w:bottom w:val="single" w:color="auto" w:sz="4" w:space="0"/>
              <w:right w:val="single" w:color="auto" w:sz="4" w:space="0"/>
            </w:tcBorders>
            <w:vAlign w:val="center"/>
          </w:tcPr>
          <w:p w14:paraId="68465936">
            <w:pPr>
              <w:spacing w:line="360" w:lineRule="auto"/>
              <w:jc w:val="center"/>
              <w:rPr>
                <w:b/>
                <w:szCs w:val="21"/>
              </w:rPr>
            </w:pPr>
            <w:r>
              <w:rPr>
                <w:b/>
                <w:szCs w:val="21"/>
              </w:rPr>
              <w:t>条  款  名  称</w:t>
            </w:r>
          </w:p>
        </w:tc>
        <w:tc>
          <w:tcPr>
            <w:tcW w:w="6072" w:type="dxa"/>
            <w:tcBorders>
              <w:top w:val="single" w:color="auto" w:sz="4" w:space="0"/>
              <w:left w:val="single" w:color="auto" w:sz="4" w:space="0"/>
              <w:bottom w:val="single" w:color="auto" w:sz="4" w:space="0"/>
              <w:right w:val="single" w:color="auto" w:sz="4" w:space="0"/>
            </w:tcBorders>
            <w:vAlign w:val="center"/>
          </w:tcPr>
          <w:p w14:paraId="6DD96CD1">
            <w:pPr>
              <w:spacing w:line="360" w:lineRule="auto"/>
              <w:jc w:val="center"/>
              <w:rPr>
                <w:b/>
                <w:szCs w:val="21"/>
              </w:rPr>
            </w:pPr>
            <w:r>
              <w:rPr>
                <w:b/>
                <w:szCs w:val="21"/>
              </w:rPr>
              <w:t>编  列  内  容</w:t>
            </w:r>
          </w:p>
        </w:tc>
      </w:tr>
      <w:tr w14:paraId="0AE48BD4">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659007E8">
            <w:pPr>
              <w:spacing w:line="360" w:lineRule="auto"/>
              <w:jc w:val="center"/>
              <w:rPr>
                <w:szCs w:val="21"/>
              </w:rPr>
            </w:pPr>
            <w:r>
              <w:rPr>
                <w:szCs w:val="21"/>
              </w:rPr>
              <w:t>1.1.2</w:t>
            </w:r>
          </w:p>
        </w:tc>
        <w:tc>
          <w:tcPr>
            <w:tcW w:w="1726" w:type="dxa"/>
            <w:tcBorders>
              <w:top w:val="single" w:color="auto" w:sz="4" w:space="0"/>
              <w:left w:val="single" w:color="auto" w:sz="4" w:space="0"/>
              <w:bottom w:val="single" w:color="auto" w:sz="4" w:space="0"/>
              <w:right w:val="single" w:color="auto" w:sz="4" w:space="0"/>
            </w:tcBorders>
            <w:vAlign w:val="center"/>
          </w:tcPr>
          <w:p w14:paraId="618C2B71">
            <w:pPr>
              <w:snapToGrid w:val="0"/>
              <w:spacing w:line="360" w:lineRule="auto"/>
              <w:ind w:left="105" w:leftChars="50" w:right="105" w:rightChars="50"/>
              <w:jc w:val="center"/>
              <w:rPr>
                <w:snapToGrid w:val="0"/>
                <w:kern w:val="0"/>
                <w:szCs w:val="21"/>
              </w:rPr>
            </w:pPr>
            <w:r>
              <w:rPr>
                <w:snapToGrid w:val="0"/>
                <w:kern w:val="0"/>
                <w:szCs w:val="21"/>
              </w:rPr>
              <w:t>招标人</w:t>
            </w:r>
          </w:p>
        </w:tc>
        <w:tc>
          <w:tcPr>
            <w:tcW w:w="6072" w:type="dxa"/>
            <w:tcBorders>
              <w:top w:val="single" w:color="auto" w:sz="4" w:space="0"/>
              <w:left w:val="single" w:color="auto" w:sz="4" w:space="0"/>
              <w:bottom w:val="single" w:color="auto" w:sz="4" w:space="0"/>
              <w:right w:val="single" w:color="auto" w:sz="4" w:space="0"/>
            </w:tcBorders>
            <w:vAlign w:val="center"/>
          </w:tcPr>
          <w:p w14:paraId="596B77EC">
            <w:pPr>
              <w:snapToGrid w:val="0"/>
              <w:spacing w:line="360" w:lineRule="auto"/>
              <w:ind w:right="105" w:rightChars="50"/>
              <w:rPr>
                <w:snapToGrid w:val="0"/>
                <w:color w:val="0000FF"/>
                <w:kern w:val="0"/>
              </w:rPr>
            </w:pPr>
            <w:r>
              <w:rPr>
                <w:rFonts w:hint="eastAsia"/>
                <w:snapToGrid w:val="0"/>
                <w:kern w:val="0"/>
                <w:szCs w:val="21"/>
              </w:rPr>
              <w:t>见招标公告</w:t>
            </w:r>
          </w:p>
        </w:tc>
      </w:tr>
      <w:tr w14:paraId="0C9040CE">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7CD4F77D">
            <w:pPr>
              <w:spacing w:line="360" w:lineRule="auto"/>
              <w:jc w:val="center"/>
              <w:rPr>
                <w:szCs w:val="21"/>
              </w:rPr>
            </w:pPr>
            <w:r>
              <w:rPr>
                <w:szCs w:val="21"/>
              </w:rPr>
              <w:t>1.1.</w:t>
            </w:r>
            <w:r>
              <w:rPr>
                <w:rFonts w:hint="eastAsia"/>
                <w:szCs w:val="21"/>
              </w:rPr>
              <w:t>3</w:t>
            </w:r>
          </w:p>
        </w:tc>
        <w:tc>
          <w:tcPr>
            <w:tcW w:w="1726" w:type="dxa"/>
            <w:tcBorders>
              <w:top w:val="single" w:color="auto" w:sz="4" w:space="0"/>
              <w:left w:val="single" w:color="auto" w:sz="4" w:space="0"/>
              <w:bottom w:val="single" w:color="auto" w:sz="4" w:space="0"/>
              <w:right w:val="single" w:color="auto" w:sz="4" w:space="0"/>
            </w:tcBorders>
            <w:vAlign w:val="center"/>
          </w:tcPr>
          <w:p w14:paraId="11276E73">
            <w:pPr>
              <w:spacing w:line="360" w:lineRule="auto"/>
              <w:jc w:val="center"/>
              <w:rPr>
                <w:szCs w:val="21"/>
              </w:rPr>
            </w:pPr>
            <w:r>
              <w:rPr>
                <w:snapToGrid w:val="0"/>
                <w:kern w:val="0"/>
                <w:szCs w:val="21"/>
              </w:rPr>
              <w:t>招标项目名称</w:t>
            </w:r>
          </w:p>
        </w:tc>
        <w:tc>
          <w:tcPr>
            <w:tcW w:w="6072" w:type="dxa"/>
            <w:tcBorders>
              <w:top w:val="single" w:color="auto" w:sz="4" w:space="0"/>
              <w:left w:val="single" w:color="auto" w:sz="4" w:space="0"/>
              <w:bottom w:val="single" w:color="auto" w:sz="4" w:space="0"/>
              <w:right w:val="single" w:color="auto" w:sz="4" w:space="0"/>
            </w:tcBorders>
            <w:vAlign w:val="center"/>
          </w:tcPr>
          <w:p w14:paraId="30C4E4F4">
            <w:pPr>
              <w:spacing w:line="360" w:lineRule="auto"/>
              <w:rPr>
                <w:color w:val="3333FF"/>
                <w:szCs w:val="21"/>
              </w:rPr>
            </w:pPr>
            <w:r>
              <w:rPr>
                <w:rFonts w:hint="eastAsia"/>
                <w:snapToGrid w:val="0"/>
                <w:kern w:val="0"/>
                <w:szCs w:val="21"/>
              </w:rPr>
              <w:t>见招标公告</w:t>
            </w:r>
          </w:p>
        </w:tc>
      </w:tr>
      <w:tr w14:paraId="4D94E28E">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1512E259">
            <w:pPr>
              <w:spacing w:line="360" w:lineRule="auto"/>
              <w:jc w:val="center"/>
              <w:rPr>
                <w:szCs w:val="21"/>
              </w:rPr>
            </w:pPr>
            <w:r>
              <w:rPr>
                <w:szCs w:val="21"/>
              </w:rPr>
              <w:t>1.1.</w:t>
            </w:r>
            <w:r>
              <w:rPr>
                <w:rFonts w:hint="eastAsia"/>
                <w:szCs w:val="21"/>
              </w:rPr>
              <w:t>4</w:t>
            </w:r>
          </w:p>
        </w:tc>
        <w:tc>
          <w:tcPr>
            <w:tcW w:w="1726" w:type="dxa"/>
            <w:tcBorders>
              <w:top w:val="single" w:color="auto" w:sz="4" w:space="0"/>
              <w:left w:val="single" w:color="auto" w:sz="4" w:space="0"/>
              <w:bottom w:val="single" w:color="auto" w:sz="4" w:space="0"/>
              <w:right w:val="single" w:color="auto" w:sz="4" w:space="0"/>
            </w:tcBorders>
            <w:vAlign w:val="center"/>
          </w:tcPr>
          <w:p w14:paraId="10823D10">
            <w:pPr>
              <w:spacing w:line="360" w:lineRule="auto"/>
              <w:jc w:val="center"/>
              <w:rPr>
                <w:szCs w:val="21"/>
              </w:rPr>
            </w:pPr>
            <w:r>
              <w:rPr>
                <w:szCs w:val="21"/>
              </w:rPr>
              <w:t>建设地点</w:t>
            </w:r>
          </w:p>
        </w:tc>
        <w:tc>
          <w:tcPr>
            <w:tcW w:w="6072" w:type="dxa"/>
            <w:tcBorders>
              <w:top w:val="single" w:color="auto" w:sz="4" w:space="0"/>
              <w:left w:val="single" w:color="auto" w:sz="4" w:space="0"/>
              <w:bottom w:val="single" w:color="auto" w:sz="4" w:space="0"/>
              <w:right w:val="single" w:color="auto" w:sz="4" w:space="0"/>
            </w:tcBorders>
            <w:vAlign w:val="center"/>
          </w:tcPr>
          <w:p w14:paraId="6F6D4249">
            <w:pPr>
              <w:spacing w:line="360" w:lineRule="auto"/>
              <w:rPr>
                <w:szCs w:val="21"/>
              </w:rPr>
            </w:pPr>
            <w:r>
              <w:rPr>
                <w:rFonts w:hint="eastAsia"/>
                <w:snapToGrid w:val="0"/>
                <w:kern w:val="0"/>
                <w:szCs w:val="21"/>
              </w:rPr>
              <w:t>见招标公告</w:t>
            </w:r>
          </w:p>
        </w:tc>
      </w:tr>
      <w:tr w14:paraId="21154BFF">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63C43B20">
            <w:pPr>
              <w:spacing w:line="360" w:lineRule="auto"/>
              <w:jc w:val="center"/>
              <w:rPr>
                <w:szCs w:val="21"/>
              </w:rPr>
            </w:pPr>
            <w:r>
              <w:rPr>
                <w:szCs w:val="21"/>
              </w:rPr>
              <w:t>1.2.1</w:t>
            </w:r>
          </w:p>
        </w:tc>
        <w:tc>
          <w:tcPr>
            <w:tcW w:w="1726" w:type="dxa"/>
            <w:tcBorders>
              <w:top w:val="single" w:color="auto" w:sz="4" w:space="0"/>
              <w:left w:val="single" w:color="auto" w:sz="4" w:space="0"/>
              <w:bottom w:val="single" w:color="auto" w:sz="4" w:space="0"/>
              <w:right w:val="single" w:color="auto" w:sz="4" w:space="0"/>
            </w:tcBorders>
            <w:vAlign w:val="center"/>
          </w:tcPr>
          <w:p w14:paraId="7A1D16C9">
            <w:pPr>
              <w:spacing w:line="360" w:lineRule="auto"/>
              <w:jc w:val="center"/>
              <w:rPr>
                <w:szCs w:val="21"/>
              </w:rPr>
            </w:pPr>
            <w:r>
              <w:rPr>
                <w:szCs w:val="21"/>
              </w:rPr>
              <w:t>资金来源</w:t>
            </w:r>
            <w:r>
              <w:rPr>
                <w:rFonts w:hint="eastAsia"/>
                <w:szCs w:val="21"/>
              </w:rPr>
              <w:t>及比例</w:t>
            </w:r>
          </w:p>
        </w:tc>
        <w:tc>
          <w:tcPr>
            <w:tcW w:w="6072" w:type="dxa"/>
            <w:tcBorders>
              <w:top w:val="single" w:color="auto" w:sz="4" w:space="0"/>
              <w:left w:val="single" w:color="auto" w:sz="4" w:space="0"/>
              <w:bottom w:val="single" w:color="auto" w:sz="4" w:space="0"/>
              <w:right w:val="single" w:color="auto" w:sz="4" w:space="0"/>
            </w:tcBorders>
            <w:vAlign w:val="center"/>
          </w:tcPr>
          <w:p w14:paraId="490006E5">
            <w:pPr>
              <w:spacing w:line="360" w:lineRule="auto"/>
              <w:rPr>
                <w:szCs w:val="21"/>
              </w:rPr>
            </w:pPr>
            <w:r>
              <w:rPr>
                <w:rFonts w:hint="eastAsia"/>
                <w:color w:val="0000FF"/>
                <w:szCs w:val="21"/>
              </w:rPr>
              <w:t>外部</w:t>
            </w:r>
            <w:r>
              <w:rPr>
                <w:color w:val="0000FF"/>
                <w:szCs w:val="21"/>
              </w:rPr>
              <w:t>资金</w:t>
            </w:r>
          </w:p>
        </w:tc>
      </w:tr>
      <w:tr w14:paraId="1D41D407">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49113015">
            <w:pPr>
              <w:spacing w:line="360" w:lineRule="auto"/>
              <w:jc w:val="center"/>
              <w:rPr>
                <w:szCs w:val="21"/>
              </w:rPr>
            </w:pPr>
            <w:r>
              <w:rPr>
                <w:szCs w:val="21"/>
              </w:rPr>
              <w:t>1.</w:t>
            </w:r>
            <w:r>
              <w:rPr>
                <w:rFonts w:hint="eastAsia"/>
                <w:szCs w:val="21"/>
              </w:rPr>
              <w:t>3</w:t>
            </w:r>
            <w:r>
              <w:rPr>
                <w:szCs w:val="21"/>
              </w:rPr>
              <w:t>.1</w:t>
            </w:r>
          </w:p>
        </w:tc>
        <w:tc>
          <w:tcPr>
            <w:tcW w:w="1726" w:type="dxa"/>
            <w:tcBorders>
              <w:top w:val="single" w:color="auto" w:sz="4" w:space="0"/>
              <w:left w:val="single" w:color="auto" w:sz="4" w:space="0"/>
              <w:bottom w:val="single" w:color="auto" w:sz="4" w:space="0"/>
              <w:right w:val="single" w:color="auto" w:sz="4" w:space="0"/>
            </w:tcBorders>
            <w:vAlign w:val="center"/>
          </w:tcPr>
          <w:p w14:paraId="336E632E">
            <w:pPr>
              <w:spacing w:line="360" w:lineRule="auto"/>
              <w:jc w:val="center"/>
              <w:rPr>
                <w:szCs w:val="21"/>
              </w:rPr>
            </w:pPr>
            <w:r>
              <w:rPr>
                <w:szCs w:val="21"/>
              </w:rPr>
              <w:t>招标范围</w:t>
            </w:r>
          </w:p>
        </w:tc>
        <w:tc>
          <w:tcPr>
            <w:tcW w:w="6072" w:type="dxa"/>
            <w:tcBorders>
              <w:top w:val="single" w:color="auto" w:sz="4" w:space="0"/>
              <w:left w:val="single" w:color="auto" w:sz="4" w:space="0"/>
              <w:bottom w:val="single" w:color="auto" w:sz="4" w:space="0"/>
              <w:right w:val="single" w:color="auto" w:sz="4" w:space="0"/>
            </w:tcBorders>
            <w:vAlign w:val="center"/>
          </w:tcPr>
          <w:p w14:paraId="2CDFB57A">
            <w:pPr>
              <w:spacing w:line="360" w:lineRule="auto"/>
              <w:rPr>
                <w:szCs w:val="21"/>
              </w:rPr>
            </w:pPr>
            <w:r>
              <w:rPr>
                <w:rFonts w:hint="eastAsia"/>
                <w:szCs w:val="21"/>
              </w:rPr>
              <w:t>见</w:t>
            </w:r>
            <w:r>
              <w:rPr>
                <w:rFonts w:hint="eastAsia"/>
                <w:snapToGrid w:val="0"/>
                <w:kern w:val="0"/>
                <w:szCs w:val="21"/>
              </w:rPr>
              <w:t>招标公告</w:t>
            </w:r>
          </w:p>
        </w:tc>
      </w:tr>
      <w:tr w14:paraId="06125F3A">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016FC7B2">
            <w:pPr>
              <w:spacing w:line="360" w:lineRule="auto"/>
              <w:jc w:val="center"/>
              <w:rPr>
                <w:szCs w:val="21"/>
              </w:rPr>
            </w:pPr>
            <w:r>
              <w:rPr>
                <w:szCs w:val="21"/>
              </w:rPr>
              <w:t>1.3.2</w:t>
            </w:r>
          </w:p>
        </w:tc>
        <w:tc>
          <w:tcPr>
            <w:tcW w:w="1726" w:type="dxa"/>
            <w:tcBorders>
              <w:top w:val="single" w:color="auto" w:sz="4" w:space="0"/>
              <w:left w:val="single" w:color="auto" w:sz="4" w:space="0"/>
              <w:bottom w:val="single" w:color="auto" w:sz="4" w:space="0"/>
              <w:right w:val="single" w:color="auto" w:sz="4" w:space="0"/>
            </w:tcBorders>
            <w:vAlign w:val="center"/>
          </w:tcPr>
          <w:p w14:paraId="384C9F27">
            <w:pPr>
              <w:spacing w:line="360" w:lineRule="auto"/>
              <w:jc w:val="center"/>
              <w:rPr>
                <w:szCs w:val="21"/>
              </w:rPr>
            </w:pPr>
            <w:r>
              <w:rPr>
                <w:szCs w:val="21"/>
              </w:rPr>
              <w:t>计划工期</w:t>
            </w:r>
          </w:p>
        </w:tc>
        <w:tc>
          <w:tcPr>
            <w:tcW w:w="6072" w:type="dxa"/>
            <w:tcBorders>
              <w:top w:val="single" w:color="auto" w:sz="4" w:space="0"/>
              <w:left w:val="single" w:color="auto" w:sz="4" w:space="0"/>
              <w:bottom w:val="single" w:color="auto" w:sz="4" w:space="0"/>
              <w:right w:val="single" w:color="auto" w:sz="4" w:space="0"/>
            </w:tcBorders>
            <w:vAlign w:val="center"/>
          </w:tcPr>
          <w:p w14:paraId="6E826A71">
            <w:pPr>
              <w:spacing w:line="360" w:lineRule="auto"/>
              <w:rPr>
                <w:szCs w:val="21"/>
              </w:rPr>
            </w:pPr>
            <w:r>
              <w:rPr>
                <w:szCs w:val="21"/>
              </w:rPr>
              <w:t>计划工期：</w:t>
            </w:r>
            <w:r>
              <w:rPr>
                <w:szCs w:val="21"/>
                <w:u w:val="single"/>
              </w:rPr>
              <w:t xml:space="preserve"> </w:t>
            </w:r>
            <w:r>
              <w:rPr>
                <w:rFonts w:hint="eastAsia"/>
                <w:snapToGrid w:val="0"/>
                <w:kern w:val="0"/>
                <w:szCs w:val="21"/>
                <w:u w:val="single"/>
              </w:rPr>
              <w:t>见招标公告</w:t>
            </w:r>
            <w:r>
              <w:rPr>
                <w:szCs w:val="21"/>
                <w:u w:val="single"/>
              </w:rPr>
              <w:t xml:space="preserve"> </w:t>
            </w:r>
            <w:r>
              <w:rPr>
                <w:rFonts w:hint="eastAsia"/>
                <w:szCs w:val="21"/>
                <w:u w:val="single"/>
              </w:rPr>
              <w:t xml:space="preserve"> </w:t>
            </w:r>
            <w:r>
              <w:rPr>
                <w:szCs w:val="21"/>
              </w:rPr>
              <w:t>日历天</w:t>
            </w:r>
          </w:p>
          <w:p w14:paraId="1C3A5D1A">
            <w:pPr>
              <w:spacing w:line="360" w:lineRule="auto"/>
              <w:rPr>
                <w:color w:val="0070C0"/>
                <w:szCs w:val="21"/>
              </w:rPr>
            </w:pPr>
            <w:r>
              <w:rPr>
                <w:szCs w:val="21"/>
              </w:rPr>
              <w:t>计划开工日期：</w:t>
            </w:r>
            <w:r>
              <w:rPr>
                <w:szCs w:val="21"/>
                <w:u w:val="single"/>
              </w:rPr>
              <w:t xml:space="preserve"> </w:t>
            </w:r>
            <w:r>
              <w:rPr>
                <w:rFonts w:hint="eastAsia"/>
                <w:szCs w:val="21"/>
                <w:u w:val="single"/>
              </w:rPr>
              <w:t xml:space="preserve"> </w:t>
            </w:r>
            <w:r>
              <w:rPr>
                <w:rFonts w:hint="eastAsia"/>
                <w:color w:val="0000FF"/>
                <w:szCs w:val="21"/>
                <w:u w:val="single"/>
              </w:rPr>
              <w:t xml:space="preserve">2026 </w:t>
            </w:r>
            <w:r>
              <w:rPr>
                <w:color w:val="0000FF"/>
                <w:szCs w:val="21"/>
                <w:u w:val="single"/>
              </w:rPr>
              <w:t xml:space="preserve"> </w:t>
            </w:r>
            <w:r>
              <w:rPr>
                <w:color w:val="0000FF"/>
                <w:szCs w:val="21"/>
              </w:rPr>
              <w:t xml:space="preserve">年 </w:t>
            </w:r>
            <w:r>
              <w:rPr>
                <w:color w:val="0000FF"/>
                <w:szCs w:val="21"/>
                <w:u w:val="single"/>
              </w:rPr>
              <w:t xml:space="preserve"> </w:t>
            </w:r>
            <w:r>
              <w:rPr>
                <w:rFonts w:hint="eastAsia"/>
                <w:color w:val="0000FF"/>
                <w:szCs w:val="21"/>
                <w:u w:val="single"/>
              </w:rPr>
              <w:t xml:space="preserve"> 4 </w:t>
            </w:r>
            <w:r>
              <w:rPr>
                <w:color w:val="0000FF"/>
                <w:szCs w:val="21"/>
                <w:u w:val="single"/>
              </w:rPr>
              <w:t xml:space="preserve"> </w:t>
            </w:r>
            <w:r>
              <w:rPr>
                <w:color w:val="0000FF"/>
                <w:szCs w:val="21"/>
              </w:rPr>
              <w:t>月</w:t>
            </w:r>
            <w:r>
              <w:rPr>
                <w:color w:val="0000FF"/>
                <w:szCs w:val="21"/>
                <w:u w:val="single"/>
              </w:rPr>
              <w:t xml:space="preserve"> </w:t>
            </w:r>
            <w:r>
              <w:rPr>
                <w:rFonts w:hint="eastAsia"/>
                <w:color w:val="0000FF"/>
                <w:szCs w:val="21"/>
                <w:u w:val="single"/>
              </w:rPr>
              <w:t xml:space="preserve">  </w:t>
            </w:r>
            <w:r>
              <w:rPr>
                <w:color w:val="0000FF"/>
                <w:szCs w:val="21"/>
                <w:u w:val="single"/>
              </w:rPr>
              <w:t xml:space="preserve">  </w:t>
            </w:r>
            <w:r>
              <w:rPr>
                <w:color w:val="0000FF"/>
                <w:szCs w:val="21"/>
              </w:rPr>
              <w:t>日</w:t>
            </w:r>
            <w:r>
              <w:rPr>
                <w:rFonts w:hint="eastAsia"/>
                <w:szCs w:val="21"/>
              </w:rPr>
              <w:t>（具体开工日期以开工令为准）</w:t>
            </w:r>
          </w:p>
        </w:tc>
      </w:tr>
      <w:tr w14:paraId="5F9DEB16">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09DBF111">
            <w:pPr>
              <w:spacing w:line="360" w:lineRule="auto"/>
              <w:jc w:val="center"/>
              <w:rPr>
                <w:szCs w:val="21"/>
              </w:rPr>
            </w:pPr>
            <w:r>
              <w:rPr>
                <w:szCs w:val="21"/>
              </w:rPr>
              <w:t>1.3.3</w:t>
            </w:r>
          </w:p>
        </w:tc>
        <w:tc>
          <w:tcPr>
            <w:tcW w:w="1726" w:type="dxa"/>
            <w:tcBorders>
              <w:top w:val="single" w:color="auto" w:sz="4" w:space="0"/>
              <w:left w:val="single" w:color="auto" w:sz="4" w:space="0"/>
              <w:bottom w:val="single" w:color="auto" w:sz="4" w:space="0"/>
              <w:right w:val="single" w:color="auto" w:sz="4" w:space="0"/>
            </w:tcBorders>
            <w:vAlign w:val="center"/>
          </w:tcPr>
          <w:p w14:paraId="55BBC71B">
            <w:pPr>
              <w:spacing w:line="360" w:lineRule="auto"/>
              <w:jc w:val="center"/>
              <w:rPr>
                <w:szCs w:val="21"/>
              </w:rPr>
            </w:pPr>
            <w:r>
              <w:rPr>
                <w:szCs w:val="21"/>
              </w:rPr>
              <w:t>质量要求</w:t>
            </w:r>
          </w:p>
        </w:tc>
        <w:tc>
          <w:tcPr>
            <w:tcW w:w="6072" w:type="dxa"/>
            <w:tcBorders>
              <w:top w:val="single" w:color="auto" w:sz="4" w:space="0"/>
              <w:left w:val="single" w:color="auto" w:sz="4" w:space="0"/>
              <w:bottom w:val="single" w:color="auto" w:sz="4" w:space="0"/>
              <w:right w:val="single" w:color="auto" w:sz="4" w:space="0"/>
            </w:tcBorders>
            <w:vAlign w:val="center"/>
          </w:tcPr>
          <w:p w14:paraId="1FD23DEA">
            <w:pPr>
              <w:spacing w:line="360" w:lineRule="auto"/>
              <w:rPr>
                <w:szCs w:val="21"/>
              </w:rPr>
            </w:pPr>
            <w:r>
              <w:rPr>
                <w:rFonts w:hint="eastAsia"/>
                <w:szCs w:val="21"/>
              </w:rPr>
              <w:t>合格。</w:t>
            </w:r>
          </w:p>
        </w:tc>
      </w:tr>
      <w:tr w14:paraId="7435291F">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485083DB">
            <w:pPr>
              <w:snapToGrid w:val="0"/>
              <w:spacing w:line="360" w:lineRule="auto"/>
              <w:ind w:left="105" w:leftChars="50" w:right="105" w:rightChars="50"/>
              <w:jc w:val="center"/>
              <w:rPr>
                <w:snapToGrid w:val="0"/>
                <w:kern w:val="0"/>
                <w:szCs w:val="21"/>
              </w:rPr>
            </w:pPr>
            <w:r>
              <w:rPr>
                <w:snapToGrid w:val="0"/>
                <w:kern w:val="0"/>
                <w:szCs w:val="21"/>
              </w:rPr>
              <w:t>1.3.4</w:t>
            </w:r>
          </w:p>
        </w:tc>
        <w:tc>
          <w:tcPr>
            <w:tcW w:w="1726" w:type="dxa"/>
            <w:tcBorders>
              <w:top w:val="single" w:color="auto" w:sz="4" w:space="0"/>
              <w:left w:val="single" w:color="auto" w:sz="4" w:space="0"/>
              <w:bottom w:val="single" w:color="auto" w:sz="4" w:space="0"/>
              <w:right w:val="single" w:color="auto" w:sz="4" w:space="0"/>
            </w:tcBorders>
            <w:vAlign w:val="center"/>
          </w:tcPr>
          <w:p w14:paraId="53DF52BB">
            <w:pPr>
              <w:snapToGrid w:val="0"/>
              <w:spacing w:line="360" w:lineRule="auto"/>
              <w:ind w:left="105" w:leftChars="50" w:right="105" w:rightChars="50"/>
              <w:jc w:val="center"/>
              <w:rPr>
                <w:snapToGrid w:val="0"/>
                <w:kern w:val="0"/>
                <w:szCs w:val="21"/>
              </w:rPr>
            </w:pPr>
            <w:r>
              <w:rPr>
                <w:snapToGrid w:val="0"/>
                <w:kern w:val="0"/>
                <w:szCs w:val="21"/>
              </w:rPr>
              <w:t>安全目标</w:t>
            </w:r>
          </w:p>
        </w:tc>
        <w:tc>
          <w:tcPr>
            <w:tcW w:w="6072" w:type="dxa"/>
            <w:tcBorders>
              <w:top w:val="single" w:color="auto" w:sz="4" w:space="0"/>
              <w:left w:val="single" w:color="auto" w:sz="4" w:space="0"/>
              <w:bottom w:val="single" w:color="auto" w:sz="4" w:space="0"/>
              <w:right w:val="single" w:color="auto" w:sz="4" w:space="0"/>
            </w:tcBorders>
            <w:vAlign w:val="center"/>
          </w:tcPr>
          <w:p w14:paraId="3975B889">
            <w:pPr>
              <w:spacing w:line="360" w:lineRule="auto"/>
              <w:rPr>
                <w:szCs w:val="21"/>
              </w:rPr>
            </w:pPr>
            <w:r>
              <w:rPr>
                <w:rFonts w:hint="eastAsia"/>
                <w:szCs w:val="21"/>
              </w:rPr>
              <w:t>项目</w:t>
            </w:r>
            <w:r>
              <w:rPr>
                <w:szCs w:val="21"/>
              </w:rPr>
              <w:t>实施</w:t>
            </w:r>
            <w:r>
              <w:rPr>
                <w:rFonts w:hint="eastAsia"/>
                <w:szCs w:val="21"/>
              </w:rPr>
              <w:t>过程</w:t>
            </w:r>
            <w:r>
              <w:rPr>
                <w:szCs w:val="21"/>
              </w:rPr>
              <w:t>中</w:t>
            </w:r>
            <w:r>
              <w:rPr>
                <w:rFonts w:hint="eastAsia"/>
                <w:szCs w:val="21"/>
              </w:rPr>
              <w:t>无安全责任事故</w:t>
            </w:r>
          </w:p>
        </w:tc>
      </w:tr>
      <w:tr w14:paraId="2868F5EF">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367783CC">
            <w:pPr>
              <w:spacing w:line="360" w:lineRule="auto"/>
              <w:jc w:val="center"/>
              <w:rPr>
                <w:szCs w:val="21"/>
              </w:rPr>
            </w:pPr>
            <w:r>
              <w:rPr>
                <w:szCs w:val="21"/>
              </w:rPr>
              <w:t>1.4.1</w:t>
            </w:r>
          </w:p>
        </w:tc>
        <w:tc>
          <w:tcPr>
            <w:tcW w:w="1726" w:type="dxa"/>
            <w:tcBorders>
              <w:top w:val="single" w:color="auto" w:sz="4" w:space="0"/>
              <w:left w:val="single" w:color="auto" w:sz="4" w:space="0"/>
              <w:bottom w:val="single" w:color="auto" w:sz="4" w:space="0"/>
              <w:right w:val="single" w:color="auto" w:sz="4" w:space="0"/>
            </w:tcBorders>
            <w:vAlign w:val="center"/>
          </w:tcPr>
          <w:p w14:paraId="2207F490">
            <w:pPr>
              <w:snapToGrid w:val="0"/>
              <w:spacing w:line="360" w:lineRule="auto"/>
              <w:ind w:left="105" w:leftChars="50" w:right="105" w:rightChars="50"/>
              <w:jc w:val="center"/>
              <w:rPr>
                <w:snapToGrid w:val="0"/>
                <w:kern w:val="0"/>
                <w:szCs w:val="21"/>
              </w:rPr>
            </w:pPr>
            <w:r>
              <w:rPr>
                <w:snapToGrid w:val="0"/>
                <w:kern w:val="0"/>
                <w:szCs w:val="21"/>
              </w:rPr>
              <w:t>投标人资质</w:t>
            </w:r>
            <w:r>
              <w:rPr>
                <w:rFonts w:hint="eastAsia"/>
                <w:snapToGrid w:val="0"/>
                <w:kern w:val="0"/>
                <w:szCs w:val="21"/>
              </w:rPr>
              <w:t>条件</w:t>
            </w:r>
            <w:r>
              <w:rPr>
                <w:snapToGrid w:val="0"/>
                <w:kern w:val="0"/>
                <w:szCs w:val="21"/>
              </w:rPr>
              <w:t>、能力和信用</w:t>
            </w:r>
          </w:p>
        </w:tc>
        <w:tc>
          <w:tcPr>
            <w:tcW w:w="6072" w:type="dxa"/>
            <w:tcBorders>
              <w:top w:val="single" w:color="auto" w:sz="4" w:space="0"/>
              <w:left w:val="single" w:color="auto" w:sz="4" w:space="0"/>
              <w:bottom w:val="single" w:color="auto" w:sz="4" w:space="0"/>
              <w:right w:val="single" w:color="auto" w:sz="4" w:space="0"/>
            </w:tcBorders>
            <w:vAlign w:val="center"/>
          </w:tcPr>
          <w:p w14:paraId="263E0EC8">
            <w:pPr>
              <w:kinsoku w:val="0"/>
              <w:overflowPunct w:val="0"/>
              <w:autoSpaceDE w:val="0"/>
              <w:autoSpaceDN w:val="0"/>
              <w:adjustRightInd w:val="0"/>
              <w:snapToGrid w:val="0"/>
              <w:spacing w:line="360" w:lineRule="auto"/>
              <w:ind w:right="105" w:rightChars="50"/>
              <w:rPr>
                <w:snapToGrid w:val="0"/>
                <w:kern w:val="0"/>
                <w:szCs w:val="21"/>
              </w:rPr>
            </w:pPr>
            <w:r>
              <w:rPr>
                <w:rFonts w:hint="eastAsia"/>
                <w:snapToGrid w:val="0"/>
                <w:kern w:val="0"/>
                <w:szCs w:val="21"/>
              </w:rPr>
              <w:t>（1）资质要求：</w:t>
            </w:r>
            <w:r>
              <w:rPr>
                <w:rFonts w:hint="eastAsia"/>
                <w:snapToGrid w:val="0"/>
                <w:kern w:val="0"/>
                <w:szCs w:val="21"/>
                <w:u w:val="single"/>
              </w:rPr>
              <w:t xml:space="preserve">  见招标公告      </w:t>
            </w:r>
          </w:p>
          <w:p w14:paraId="35C9D9A9">
            <w:pPr>
              <w:kinsoku w:val="0"/>
              <w:overflowPunct w:val="0"/>
              <w:autoSpaceDE w:val="0"/>
              <w:autoSpaceDN w:val="0"/>
              <w:adjustRightInd w:val="0"/>
              <w:snapToGrid w:val="0"/>
              <w:spacing w:line="360" w:lineRule="auto"/>
              <w:ind w:right="105" w:rightChars="50"/>
              <w:rPr>
                <w:snapToGrid w:val="0"/>
                <w:kern w:val="0"/>
                <w:szCs w:val="21"/>
              </w:rPr>
            </w:pPr>
            <w:r>
              <w:rPr>
                <w:rFonts w:hint="eastAsia"/>
                <w:snapToGrid w:val="0"/>
                <w:kern w:val="0"/>
                <w:szCs w:val="21"/>
              </w:rPr>
              <w:t>（2）业绩要求：</w:t>
            </w:r>
            <w:r>
              <w:rPr>
                <w:rFonts w:hint="eastAsia"/>
                <w:snapToGrid w:val="0"/>
                <w:kern w:val="0"/>
                <w:szCs w:val="21"/>
                <w:u w:val="single"/>
              </w:rPr>
              <w:t xml:space="preserve">   见招标公告      </w:t>
            </w:r>
          </w:p>
          <w:p w14:paraId="1BAFFB6B">
            <w:pPr>
              <w:kinsoku w:val="0"/>
              <w:overflowPunct w:val="0"/>
              <w:autoSpaceDE w:val="0"/>
              <w:autoSpaceDN w:val="0"/>
              <w:adjustRightInd w:val="0"/>
              <w:snapToGrid w:val="0"/>
              <w:spacing w:line="360" w:lineRule="auto"/>
              <w:ind w:right="105" w:rightChars="50"/>
              <w:rPr>
                <w:snapToGrid w:val="0"/>
                <w:kern w:val="0"/>
                <w:szCs w:val="21"/>
                <w:u w:val="single"/>
              </w:rPr>
            </w:pPr>
            <w:r>
              <w:rPr>
                <w:rFonts w:hint="eastAsia"/>
                <w:snapToGrid w:val="0"/>
                <w:kern w:val="0"/>
                <w:szCs w:val="21"/>
              </w:rPr>
              <w:t>（3）项目经理资格及业绩要求：</w:t>
            </w:r>
            <w:r>
              <w:rPr>
                <w:rFonts w:hint="eastAsia"/>
                <w:snapToGrid w:val="0"/>
                <w:kern w:val="0"/>
                <w:szCs w:val="21"/>
                <w:u w:val="single"/>
              </w:rPr>
              <w:t xml:space="preserve">  见招标公告    </w:t>
            </w:r>
          </w:p>
          <w:p w14:paraId="494CF53D">
            <w:pPr>
              <w:kinsoku w:val="0"/>
              <w:overflowPunct w:val="0"/>
              <w:autoSpaceDE w:val="0"/>
              <w:autoSpaceDN w:val="0"/>
              <w:adjustRightInd w:val="0"/>
              <w:snapToGrid w:val="0"/>
              <w:spacing w:line="360" w:lineRule="auto"/>
              <w:ind w:right="105" w:rightChars="50"/>
            </w:pPr>
            <w:r>
              <w:rPr>
                <w:rFonts w:hint="eastAsia"/>
                <w:snapToGrid w:val="0"/>
                <w:kern w:val="0"/>
                <w:szCs w:val="21"/>
              </w:rPr>
              <w:t>（4）其他要求：</w:t>
            </w:r>
            <w:r>
              <w:rPr>
                <w:rFonts w:hint="eastAsia"/>
                <w:snapToGrid w:val="0"/>
                <w:kern w:val="0"/>
                <w:szCs w:val="21"/>
                <w:u w:val="single"/>
              </w:rPr>
              <w:t>见招标公告</w:t>
            </w:r>
          </w:p>
        </w:tc>
      </w:tr>
      <w:tr w14:paraId="3B751C8F">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5DAFA452">
            <w:pPr>
              <w:spacing w:line="360" w:lineRule="auto"/>
              <w:jc w:val="center"/>
              <w:rPr>
                <w:szCs w:val="21"/>
              </w:rPr>
            </w:pPr>
            <w:r>
              <w:rPr>
                <w:szCs w:val="21"/>
              </w:rPr>
              <w:t>1.</w:t>
            </w:r>
            <w:r>
              <w:rPr>
                <w:rFonts w:hint="eastAsia"/>
                <w:szCs w:val="21"/>
              </w:rPr>
              <w:t>9</w:t>
            </w:r>
            <w:r>
              <w:rPr>
                <w:szCs w:val="21"/>
              </w:rPr>
              <w:t>.1</w:t>
            </w:r>
          </w:p>
        </w:tc>
        <w:tc>
          <w:tcPr>
            <w:tcW w:w="1726" w:type="dxa"/>
            <w:tcBorders>
              <w:top w:val="single" w:color="auto" w:sz="4" w:space="0"/>
              <w:left w:val="single" w:color="auto" w:sz="4" w:space="0"/>
              <w:bottom w:val="single" w:color="auto" w:sz="4" w:space="0"/>
              <w:right w:val="single" w:color="auto" w:sz="4" w:space="0"/>
            </w:tcBorders>
            <w:vAlign w:val="center"/>
          </w:tcPr>
          <w:p w14:paraId="363FB71B">
            <w:pPr>
              <w:spacing w:line="360" w:lineRule="auto"/>
              <w:jc w:val="center"/>
              <w:rPr>
                <w:szCs w:val="21"/>
              </w:rPr>
            </w:pPr>
            <w:r>
              <w:rPr>
                <w:rFonts w:hint="eastAsia"/>
                <w:szCs w:val="21"/>
              </w:rPr>
              <w:t>踏勘现场</w:t>
            </w:r>
          </w:p>
        </w:tc>
        <w:tc>
          <w:tcPr>
            <w:tcW w:w="6072" w:type="dxa"/>
            <w:tcBorders>
              <w:top w:val="single" w:color="auto" w:sz="4" w:space="0"/>
              <w:left w:val="single" w:color="auto" w:sz="4" w:space="0"/>
              <w:bottom w:val="single" w:color="auto" w:sz="4" w:space="0"/>
              <w:right w:val="single" w:color="auto" w:sz="4" w:space="0"/>
            </w:tcBorders>
            <w:vAlign w:val="center"/>
          </w:tcPr>
          <w:p w14:paraId="45604E11">
            <w:pPr>
              <w:topLinePunct/>
              <w:spacing w:line="360" w:lineRule="auto"/>
              <w:rPr>
                <w:szCs w:val="21"/>
              </w:rPr>
            </w:pPr>
            <w:r>
              <w:rPr>
                <w:rFonts w:hint="eastAsia"/>
                <w:sz w:val="32"/>
                <w:szCs w:val="32"/>
              </w:rPr>
              <w:t>☑</w:t>
            </w:r>
            <w:r>
              <w:rPr>
                <w:rFonts w:hint="eastAsia"/>
                <w:szCs w:val="21"/>
              </w:rPr>
              <w:t>不组织，投标人自行踏勘。</w:t>
            </w:r>
          </w:p>
          <w:p w14:paraId="1A9FB20D">
            <w:pPr>
              <w:spacing w:line="360" w:lineRule="auto"/>
              <w:rPr>
                <w:szCs w:val="21"/>
              </w:rPr>
            </w:pPr>
            <w:r>
              <w:rPr>
                <w:sz w:val="32"/>
                <w:szCs w:val="32"/>
              </w:rPr>
              <w:t>□</w:t>
            </w:r>
            <w:r>
              <w:rPr>
                <w:rFonts w:hint="eastAsia"/>
                <w:szCs w:val="21"/>
              </w:rPr>
              <w:t>组织，踏勘时间：</w:t>
            </w:r>
            <w:r>
              <w:rPr>
                <w:rFonts w:hint="eastAsia"/>
                <w:bCs/>
                <w:snapToGrid w:val="0"/>
                <w:kern w:val="0"/>
                <w:szCs w:val="21"/>
                <w:u w:val="single"/>
              </w:rPr>
              <w:t xml:space="preserve">             </w:t>
            </w:r>
          </w:p>
          <w:p w14:paraId="7B7E6852">
            <w:pPr>
              <w:spacing w:line="360" w:lineRule="auto"/>
              <w:rPr>
                <w:szCs w:val="21"/>
              </w:rPr>
            </w:pPr>
            <w:r>
              <w:rPr>
                <w:rFonts w:hint="eastAsia"/>
                <w:szCs w:val="21"/>
              </w:rPr>
              <w:t xml:space="preserve">        踏勘集中地点：</w:t>
            </w:r>
            <w:r>
              <w:rPr>
                <w:rFonts w:hint="eastAsia"/>
                <w:bCs/>
                <w:snapToGrid w:val="0"/>
                <w:kern w:val="0"/>
                <w:szCs w:val="21"/>
                <w:u w:val="single"/>
              </w:rPr>
              <w:t xml:space="preserve">         </w:t>
            </w:r>
          </w:p>
        </w:tc>
      </w:tr>
      <w:tr w14:paraId="7A7BD017">
        <w:tblPrEx>
          <w:tblCellMar>
            <w:top w:w="0" w:type="dxa"/>
            <w:left w:w="108" w:type="dxa"/>
            <w:bottom w:w="0" w:type="dxa"/>
            <w:right w:w="108" w:type="dxa"/>
          </w:tblCellMar>
        </w:tblPrEx>
        <w:trPr>
          <w:jc w:val="center"/>
        </w:trPr>
        <w:tc>
          <w:tcPr>
            <w:tcW w:w="1241" w:type="dxa"/>
            <w:vMerge w:val="restart"/>
            <w:tcBorders>
              <w:top w:val="single" w:color="auto" w:sz="4" w:space="0"/>
              <w:left w:val="single" w:color="auto" w:sz="4" w:space="0"/>
              <w:right w:val="single" w:color="auto" w:sz="4" w:space="0"/>
            </w:tcBorders>
            <w:vAlign w:val="center"/>
          </w:tcPr>
          <w:p w14:paraId="16D55CB7">
            <w:pPr>
              <w:spacing w:line="360" w:lineRule="auto"/>
              <w:jc w:val="center"/>
              <w:rPr>
                <w:szCs w:val="21"/>
              </w:rPr>
            </w:pPr>
            <w:r>
              <w:rPr>
                <w:szCs w:val="21"/>
              </w:rPr>
              <w:t>2.2.</w:t>
            </w:r>
            <w:r>
              <w:rPr>
                <w:rFonts w:hint="eastAsia"/>
                <w:szCs w:val="21"/>
              </w:rPr>
              <w:t>2</w:t>
            </w:r>
          </w:p>
        </w:tc>
        <w:tc>
          <w:tcPr>
            <w:tcW w:w="1726" w:type="dxa"/>
            <w:vMerge w:val="restart"/>
            <w:tcBorders>
              <w:top w:val="single" w:color="auto" w:sz="4" w:space="0"/>
              <w:left w:val="single" w:color="auto" w:sz="4" w:space="0"/>
              <w:right w:val="single" w:color="auto" w:sz="4" w:space="0"/>
            </w:tcBorders>
            <w:vAlign w:val="center"/>
          </w:tcPr>
          <w:p w14:paraId="125285E4">
            <w:pPr>
              <w:spacing w:line="360" w:lineRule="auto"/>
              <w:jc w:val="center"/>
              <w:rPr>
                <w:szCs w:val="21"/>
              </w:rPr>
            </w:pPr>
            <w:r>
              <w:rPr>
                <w:szCs w:val="21"/>
              </w:rPr>
              <w:t>投标人要求澄清招标文件的时间和形式</w:t>
            </w:r>
          </w:p>
        </w:tc>
        <w:tc>
          <w:tcPr>
            <w:tcW w:w="6072" w:type="dxa"/>
            <w:tcBorders>
              <w:top w:val="single" w:color="auto" w:sz="4" w:space="0"/>
              <w:left w:val="single" w:color="auto" w:sz="4" w:space="0"/>
              <w:bottom w:val="single" w:color="auto" w:sz="4" w:space="0"/>
              <w:right w:val="single" w:color="auto" w:sz="4" w:space="0"/>
            </w:tcBorders>
            <w:vAlign w:val="center"/>
          </w:tcPr>
          <w:p w14:paraId="02E73228">
            <w:pPr>
              <w:snapToGrid w:val="0"/>
              <w:spacing w:line="360" w:lineRule="auto"/>
              <w:rPr>
                <w:szCs w:val="21"/>
              </w:rPr>
            </w:pPr>
            <w:r>
              <w:rPr>
                <w:rFonts w:hint="eastAsia"/>
                <w:szCs w:val="21"/>
              </w:rPr>
              <w:t>时间：</w:t>
            </w:r>
            <w:r>
              <w:rPr>
                <w:rFonts w:hint="eastAsia"/>
                <w:bCs/>
                <w:snapToGrid w:val="0"/>
                <w:kern w:val="0"/>
                <w:szCs w:val="21"/>
                <w:u w:val="single"/>
              </w:rPr>
              <w:t xml:space="preserve">    </w:t>
            </w:r>
            <w:r>
              <w:rPr>
                <w:rFonts w:hint="eastAsia"/>
                <w:bCs/>
                <w:snapToGrid w:val="0"/>
                <w:kern w:val="0"/>
                <w:szCs w:val="21"/>
              </w:rPr>
              <w:t>年</w:t>
            </w:r>
            <w:r>
              <w:rPr>
                <w:rFonts w:hint="eastAsia"/>
                <w:bCs/>
                <w:snapToGrid w:val="0"/>
                <w:kern w:val="0"/>
                <w:szCs w:val="21"/>
                <w:u w:val="single"/>
              </w:rPr>
              <w:t xml:space="preserve">   </w:t>
            </w:r>
            <w:r>
              <w:rPr>
                <w:rFonts w:hint="eastAsia"/>
                <w:bCs/>
                <w:snapToGrid w:val="0"/>
                <w:kern w:val="0"/>
                <w:szCs w:val="21"/>
              </w:rPr>
              <w:t>月</w:t>
            </w:r>
            <w:r>
              <w:rPr>
                <w:rFonts w:hint="eastAsia"/>
                <w:bCs/>
                <w:snapToGrid w:val="0"/>
                <w:kern w:val="0"/>
                <w:szCs w:val="21"/>
                <w:u w:val="single"/>
              </w:rPr>
              <w:t xml:space="preserve">   </w:t>
            </w:r>
            <w:r>
              <w:rPr>
                <w:rFonts w:hint="eastAsia"/>
                <w:bCs/>
                <w:snapToGrid w:val="0"/>
                <w:kern w:val="0"/>
                <w:szCs w:val="21"/>
              </w:rPr>
              <w:t>日</w:t>
            </w:r>
            <w:r>
              <w:rPr>
                <w:rFonts w:hint="eastAsia"/>
                <w:bCs/>
                <w:snapToGrid w:val="0"/>
                <w:kern w:val="0"/>
                <w:szCs w:val="21"/>
                <w:u w:val="single"/>
              </w:rPr>
              <w:t xml:space="preserve">   </w:t>
            </w:r>
            <w:r>
              <w:rPr>
                <w:rFonts w:hint="eastAsia"/>
                <w:bCs/>
                <w:snapToGrid w:val="0"/>
                <w:kern w:val="0"/>
                <w:szCs w:val="21"/>
              </w:rPr>
              <w:t>时</w:t>
            </w:r>
            <w:r>
              <w:rPr>
                <w:rFonts w:hint="eastAsia"/>
                <w:bCs/>
                <w:snapToGrid w:val="0"/>
                <w:kern w:val="0"/>
                <w:szCs w:val="21"/>
                <w:u w:val="single"/>
              </w:rPr>
              <w:t xml:space="preserve">   </w:t>
            </w:r>
            <w:r>
              <w:rPr>
                <w:rFonts w:hint="eastAsia"/>
                <w:bCs/>
                <w:snapToGrid w:val="0"/>
                <w:kern w:val="0"/>
                <w:szCs w:val="21"/>
              </w:rPr>
              <w:t>分前</w:t>
            </w:r>
          </w:p>
        </w:tc>
      </w:tr>
      <w:tr w14:paraId="46C5D2F7">
        <w:tblPrEx>
          <w:tblCellMar>
            <w:top w:w="0" w:type="dxa"/>
            <w:left w:w="108" w:type="dxa"/>
            <w:bottom w:w="0" w:type="dxa"/>
            <w:right w:w="108" w:type="dxa"/>
          </w:tblCellMar>
        </w:tblPrEx>
        <w:trPr>
          <w:jc w:val="center"/>
        </w:trPr>
        <w:tc>
          <w:tcPr>
            <w:tcW w:w="1241" w:type="dxa"/>
            <w:vMerge w:val="continue"/>
            <w:tcBorders>
              <w:left w:val="single" w:color="auto" w:sz="4" w:space="0"/>
              <w:bottom w:val="single" w:color="auto" w:sz="4" w:space="0"/>
              <w:right w:val="single" w:color="auto" w:sz="4" w:space="0"/>
            </w:tcBorders>
            <w:vAlign w:val="center"/>
          </w:tcPr>
          <w:p w14:paraId="7AEAFEF6">
            <w:pPr>
              <w:spacing w:line="360" w:lineRule="auto"/>
              <w:jc w:val="center"/>
              <w:rPr>
                <w:szCs w:val="21"/>
              </w:rPr>
            </w:pPr>
          </w:p>
        </w:tc>
        <w:tc>
          <w:tcPr>
            <w:tcW w:w="1726" w:type="dxa"/>
            <w:vMerge w:val="continue"/>
            <w:tcBorders>
              <w:left w:val="single" w:color="auto" w:sz="4" w:space="0"/>
              <w:bottom w:val="single" w:color="auto" w:sz="4" w:space="0"/>
              <w:right w:val="single" w:color="auto" w:sz="4" w:space="0"/>
            </w:tcBorders>
            <w:vAlign w:val="center"/>
          </w:tcPr>
          <w:p w14:paraId="244416D5">
            <w:pPr>
              <w:spacing w:line="360" w:lineRule="auto"/>
              <w:jc w:val="center"/>
              <w:rPr>
                <w:szCs w:val="21"/>
              </w:rPr>
            </w:pPr>
          </w:p>
        </w:tc>
        <w:tc>
          <w:tcPr>
            <w:tcW w:w="6072" w:type="dxa"/>
            <w:tcBorders>
              <w:top w:val="single" w:color="auto" w:sz="4" w:space="0"/>
              <w:left w:val="single" w:color="auto" w:sz="4" w:space="0"/>
              <w:bottom w:val="single" w:color="auto" w:sz="4" w:space="0"/>
              <w:right w:val="single" w:color="auto" w:sz="4" w:space="0"/>
            </w:tcBorders>
            <w:vAlign w:val="center"/>
          </w:tcPr>
          <w:p w14:paraId="632CBFC5">
            <w:pPr>
              <w:snapToGrid w:val="0"/>
              <w:spacing w:line="360" w:lineRule="auto"/>
              <w:jc w:val="left"/>
              <w:rPr>
                <w:szCs w:val="21"/>
              </w:rPr>
            </w:pPr>
            <w:r>
              <w:rPr>
                <w:rFonts w:hint="eastAsia"/>
                <w:bCs/>
                <w:snapToGrid w:val="0"/>
                <w:kern w:val="0"/>
                <w:szCs w:val="21"/>
              </w:rPr>
              <w:t>形式：</w:t>
            </w:r>
            <w:r>
              <w:rPr>
                <w:rFonts w:hint="eastAsia"/>
                <w:color w:val="000000"/>
                <w:szCs w:val="21"/>
              </w:rPr>
              <w:t>通过</w:t>
            </w:r>
            <w:r>
              <w:rPr>
                <w:rFonts w:hint="eastAsia"/>
                <w:bCs/>
                <w:snapToGrid w:val="0"/>
                <w:color w:val="000000"/>
                <w:kern w:val="0"/>
                <w:szCs w:val="21"/>
              </w:rPr>
              <w:t>电话或邮箱等形式通知</w:t>
            </w:r>
          </w:p>
        </w:tc>
      </w:tr>
      <w:tr w14:paraId="72D9CA26">
        <w:tblPrEx>
          <w:tblCellMar>
            <w:top w:w="0" w:type="dxa"/>
            <w:left w:w="108" w:type="dxa"/>
            <w:bottom w:w="0" w:type="dxa"/>
            <w:right w:w="108" w:type="dxa"/>
          </w:tblCellMar>
        </w:tblPrEx>
        <w:trPr>
          <w:jc w:val="center"/>
        </w:trPr>
        <w:tc>
          <w:tcPr>
            <w:tcW w:w="1241" w:type="dxa"/>
            <w:vMerge w:val="restart"/>
            <w:tcBorders>
              <w:top w:val="single" w:color="auto" w:sz="4" w:space="0"/>
              <w:left w:val="single" w:color="auto" w:sz="4" w:space="0"/>
              <w:right w:val="single" w:color="auto" w:sz="4" w:space="0"/>
            </w:tcBorders>
            <w:vAlign w:val="center"/>
          </w:tcPr>
          <w:p w14:paraId="2E3B24E0">
            <w:pPr>
              <w:spacing w:line="360" w:lineRule="auto"/>
              <w:jc w:val="center"/>
              <w:rPr>
                <w:szCs w:val="21"/>
              </w:rPr>
            </w:pPr>
            <w:r>
              <w:rPr>
                <w:szCs w:val="21"/>
              </w:rPr>
              <w:t>2.</w:t>
            </w:r>
            <w:r>
              <w:rPr>
                <w:rFonts w:hint="eastAsia"/>
                <w:szCs w:val="21"/>
              </w:rPr>
              <w:t>2</w:t>
            </w:r>
            <w:r>
              <w:rPr>
                <w:szCs w:val="21"/>
              </w:rPr>
              <w:t>.</w:t>
            </w:r>
            <w:r>
              <w:rPr>
                <w:rFonts w:hint="eastAsia"/>
                <w:szCs w:val="21"/>
              </w:rPr>
              <w:t>3</w:t>
            </w:r>
          </w:p>
        </w:tc>
        <w:tc>
          <w:tcPr>
            <w:tcW w:w="1726" w:type="dxa"/>
            <w:vMerge w:val="restart"/>
            <w:tcBorders>
              <w:top w:val="single" w:color="auto" w:sz="4" w:space="0"/>
              <w:left w:val="single" w:color="auto" w:sz="4" w:space="0"/>
              <w:right w:val="single" w:color="auto" w:sz="4" w:space="0"/>
            </w:tcBorders>
            <w:vAlign w:val="center"/>
          </w:tcPr>
          <w:p w14:paraId="2E02625E">
            <w:pPr>
              <w:spacing w:line="360" w:lineRule="auto"/>
              <w:jc w:val="center"/>
              <w:rPr>
                <w:szCs w:val="21"/>
              </w:rPr>
            </w:pPr>
            <w:r>
              <w:rPr>
                <w:rFonts w:hint="eastAsia"/>
                <w:szCs w:val="21"/>
              </w:rPr>
              <w:t>招标文件的澄清、修改发布的时间和形式</w:t>
            </w:r>
          </w:p>
        </w:tc>
        <w:tc>
          <w:tcPr>
            <w:tcW w:w="6072" w:type="dxa"/>
            <w:tcBorders>
              <w:top w:val="single" w:color="auto" w:sz="4" w:space="0"/>
              <w:left w:val="single" w:color="auto" w:sz="4" w:space="0"/>
              <w:bottom w:val="single" w:color="auto" w:sz="4" w:space="0"/>
              <w:right w:val="single" w:color="auto" w:sz="4" w:space="0"/>
            </w:tcBorders>
            <w:vAlign w:val="center"/>
          </w:tcPr>
          <w:p w14:paraId="2C848472">
            <w:pPr>
              <w:snapToGrid w:val="0"/>
              <w:spacing w:line="360" w:lineRule="auto"/>
              <w:rPr>
                <w:szCs w:val="21"/>
              </w:rPr>
            </w:pPr>
            <w:r>
              <w:rPr>
                <w:rFonts w:hint="eastAsia"/>
                <w:szCs w:val="21"/>
              </w:rPr>
              <w:t>时间：</w:t>
            </w:r>
            <w:r>
              <w:rPr>
                <w:rFonts w:hint="eastAsia"/>
                <w:bCs/>
                <w:snapToGrid w:val="0"/>
                <w:kern w:val="0"/>
                <w:szCs w:val="21"/>
                <w:u w:val="single"/>
              </w:rPr>
              <w:t xml:space="preserve">    </w:t>
            </w:r>
            <w:r>
              <w:rPr>
                <w:rFonts w:hint="eastAsia"/>
                <w:bCs/>
                <w:snapToGrid w:val="0"/>
                <w:kern w:val="0"/>
                <w:szCs w:val="21"/>
              </w:rPr>
              <w:t>年</w:t>
            </w:r>
            <w:r>
              <w:rPr>
                <w:rFonts w:hint="eastAsia"/>
                <w:bCs/>
                <w:snapToGrid w:val="0"/>
                <w:kern w:val="0"/>
                <w:szCs w:val="21"/>
                <w:u w:val="single"/>
              </w:rPr>
              <w:t xml:space="preserve">   </w:t>
            </w:r>
            <w:r>
              <w:rPr>
                <w:rFonts w:hint="eastAsia"/>
                <w:bCs/>
                <w:snapToGrid w:val="0"/>
                <w:kern w:val="0"/>
                <w:szCs w:val="21"/>
              </w:rPr>
              <w:t>月</w:t>
            </w:r>
            <w:r>
              <w:rPr>
                <w:rFonts w:hint="eastAsia"/>
                <w:bCs/>
                <w:snapToGrid w:val="0"/>
                <w:kern w:val="0"/>
                <w:szCs w:val="21"/>
                <w:u w:val="single"/>
              </w:rPr>
              <w:t xml:space="preserve">   </w:t>
            </w:r>
            <w:r>
              <w:rPr>
                <w:rFonts w:hint="eastAsia"/>
                <w:bCs/>
                <w:snapToGrid w:val="0"/>
                <w:kern w:val="0"/>
                <w:szCs w:val="21"/>
              </w:rPr>
              <w:t>日</w:t>
            </w:r>
            <w:r>
              <w:rPr>
                <w:rFonts w:hint="eastAsia"/>
                <w:bCs/>
                <w:snapToGrid w:val="0"/>
                <w:kern w:val="0"/>
                <w:szCs w:val="21"/>
                <w:u w:val="single"/>
              </w:rPr>
              <w:t xml:space="preserve">   </w:t>
            </w:r>
            <w:r>
              <w:rPr>
                <w:rFonts w:hint="eastAsia"/>
                <w:bCs/>
                <w:snapToGrid w:val="0"/>
                <w:kern w:val="0"/>
                <w:szCs w:val="21"/>
              </w:rPr>
              <w:t>时</w:t>
            </w:r>
            <w:r>
              <w:rPr>
                <w:rFonts w:hint="eastAsia"/>
                <w:bCs/>
                <w:snapToGrid w:val="0"/>
                <w:kern w:val="0"/>
                <w:szCs w:val="21"/>
                <w:u w:val="single"/>
              </w:rPr>
              <w:t xml:space="preserve">   </w:t>
            </w:r>
            <w:r>
              <w:rPr>
                <w:rFonts w:hint="eastAsia"/>
                <w:bCs/>
                <w:snapToGrid w:val="0"/>
                <w:kern w:val="0"/>
                <w:szCs w:val="21"/>
              </w:rPr>
              <w:t>分前</w:t>
            </w:r>
          </w:p>
        </w:tc>
      </w:tr>
      <w:tr w14:paraId="7112930A">
        <w:tblPrEx>
          <w:tblCellMar>
            <w:top w:w="0" w:type="dxa"/>
            <w:left w:w="108" w:type="dxa"/>
            <w:bottom w:w="0" w:type="dxa"/>
            <w:right w:w="108" w:type="dxa"/>
          </w:tblCellMar>
        </w:tblPrEx>
        <w:trPr>
          <w:jc w:val="center"/>
        </w:trPr>
        <w:tc>
          <w:tcPr>
            <w:tcW w:w="1241" w:type="dxa"/>
            <w:vMerge w:val="continue"/>
            <w:tcBorders>
              <w:left w:val="single" w:color="auto" w:sz="4" w:space="0"/>
              <w:bottom w:val="single" w:color="auto" w:sz="4" w:space="0"/>
              <w:right w:val="single" w:color="auto" w:sz="4" w:space="0"/>
            </w:tcBorders>
            <w:vAlign w:val="center"/>
          </w:tcPr>
          <w:p w14:paraId="282D119C">
            <w:pPr>
              <w:spacing w:line="360" w:lineRule="auto"/>
              <w:jc w:val="center"/>
              <w:rPr>
                <w:szCs w:val="21"/>
              </w:rPr>
            </w:pPr>
          </w:p>
        </w:tc>
        <w:tc>
          <w:tcPr>
            <w:tcW w:w="1726" w:type="dxa"/>
            <w:vMerge w:val="continue"/>
            <w:tcBorders>
              <w:left w:val="single" w:color="auto" w:sz="4" w:space="0"/>
              <w:bottom w:val="single" w:color="auto" w:sz="4" w:space="0"/>
              <w:right w:val="single" w:color="auto" w:sz="4" w:space="0"/>
            </w:tcBorders>
            <w:vAlign w:val="center"/>
          </w:tcPr>
          <w:p w14:paraId="6409669C">
            <w:pPr>
              <w:spacing w:line="360" w:lineRule="auto"/>
              <w:jc w:val="center"/>
              <w:rPr>
                <w:szCs w:val="21"/>
              </w:rPr>
            </w:pPr>
          </w:p>
        </w:tc>
        <w:tc>
          <w:tcPr>
            <w:tcW w:w="6072" w:type="dxa"/>
            <w:tcBorders>
              <w:top w:val="single" w:color="auto" w:sz="4" w:space="0"/>
              <w:left w:val="single" w:color="auto" w:sz="4" w:space="0"/>
              <w:bottom w:val="single" w:color="auto" w:sz="4" w:space="0"/>
              <w:right w:val="single" w:color="auto" w:sz="4" w:space="0"/>
            </w:tcBorders>
            <w:vAlign w:val="center"/>
          </w:tcPr>
          <w:p w14:paraId="57B25FD0">
            <w:pPr>
              <w:snapToGrid w:val="0"/>
              <w:spacing w:line="360" w:lineRule="auto"/>
              <w:jc w:val="left"/>
              <w:rPr>
                <w:szCs w:val="21"/>
              </w:rPr>
            </w:pPr>
            <w:r>
              <w:rPr>
                <w:rFonts w:hint="eastAsia"/>
                <w:bCs/>
                <w:snapToGrid w:val="0"/>
                <w:kern w:val="0"/>
                <w:szCs w:val="21"/>
              </w:rPr>
              <w:t>形式：</w:t>
            </w:r>
            <w:r>
              <w:rPr>
                <w:rFonts w:hint="eastAsia"/>
                <w:color w:val="000000"/>
                <w:szCs w:val="21"/>
              </w:rPr>
              <w:t>通过</w:t>
            </w:r>
            <w:r>
              <w:rPr>
                <w:rFonts w:hint="eastAsia"/>
                <w:bCs/>
                <w:snapToGrid w:val="0"/>
                <w:color w:val="000000"/>
                <w:kern w:val="0"/>
                <w:szCs w:val="21"/>
              </w:rPr>
              <w:t>电话或邮箱等形式通知</w:t>
            </w:r>
          </w:p>
        </w:tc>
      </w:tr>
      <w:tr w14:paraId="1BB166F8">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709FD6B9">
            <w:pPr>
              <w:spacing w:line="360" w:lineRule="auto"/>
              <w:jc w:val="center"/>
              <w:rPr>
                <w:szCs w:val="21"/>
              </w:rPr>
            </w:pPr>
            <w:r>
              <w:rPr>
                <w:rFonts w:hint="eastAsia"/>
                <w:szCs w:val="21"/>
              </w:rPr>
              <w:t>3.2.3</w:t>
            </w:r>
          </w:p>
        </w:tc>
        <w:tc>
          <w:tcPr>
            <w:tcW w:w="1726" w:type="dxa"/>
            <w:tcBorders>
              <w:top w:val="single" w:color="auto" w:sz="4" w:space="0"/>
              <w:left w:val="single" w:color="auto" w:sz="4" w:space="0"/>
              <w:bottom w:val="single" w:color="auto" w:sz="4" w:space="0"/>
              <w:right w:val="single" w:color="auto" w:sz="4" w:space="0"/>
            </w:tcBorders>
            <w:vAlign w:val="center"/>
          </w:tcPr>
          <w:p w14:paraId="3EFD6D38">
            <w:pPr>
              <w:spacing w:line="360" w:lineRule="auto"/>
              <w:jc w:val="center"/>
              <w:rPr>
                <w:szCs w:val="21"/>
              </w:rPr>
            </w:pPr>
            <w:r>
              <w:rPr>
                <w:rFonts w:hint="eastAsia"/>
                <w:szCs w:val="21"/>
              </w:rPr>
              <w:t>最高投标限价或其计算方法</w:t>
            </w:r>
          </w:p>
        </w:tc>
        <w:tc>
          <w:tcPr>
            <w:tcW w:w="6072" w:type="dxa"/>
            <w:tcBorders>
              <w:top w:val="single" w:color="auto" w:sz="4" w:space="0"/>
              <w:left w:val="single" w:color="auto" w:sz="4" w:space="0"/>
              <w:bottom w:val="single" w:color="auto" w:sz="4" w:space="0"/>
              <w:right w:val="single" w:color="auto" w:sz="4" w:space="0"/>
            </w:tcBorders>
            <w:vAlign w:val="center"/>
          </w:tcPr>
          <w:p w14:paraId="1B53DA7B">
            <w:pPr>
              <w:spacing w:line="360" w:lineRule="auto"/>
              <w:rPr>
                <w:szCs w:val="21"/>
                <w:u w:val="single"/>
              </w:rPr>
            </w:pPr>
            <w:r>
              <w:rPr>
                <w:rFonts w:hint="eastAsia"/>
                <w:szCs w:val="21"/>
              </w:rPr>
              <w:t>本项目最高投标限价（</w:t>
            </w:r>
            <w:r>
              <w:rPr>
                <w:szCs w:val="21"/>
              </w:rPr>
              <w:t>招标控制价</w:t>
            </w:r>
            <w:r>
              <w:rPr>
                <w:rFonts w:hint="eastAsia"/>
                <w:szCs w:val="21"/>
              </w:rPr>
              <w:t>）为：</w:t>
            </w:r>
            <w:r>
              <w:rPr>
                <w:rFonts w:hint="eastAsia"/>
                <w:szCs w:val="21"/>
                <w:u w:val="single"/>
              </w:rPr>
              <w:t>4575275元。</w:t>
            </w:r>
          </w:p>
          <w:p w14:paraId="7AF1720D">
            <w:pPr>
              <w:pStyle w:val="10"/>
            </w:pPr>
            <w:r>
              <w:rPr>
                <w:rFonts w:hint="eastAsia"/>
              </w:rPr>
              <w:t>投标人报价不得超过上述最高投标限价，具体见工程量清单及最高投标限价清单。</w:t>
            </w:r>
          </w:p>
        </w:tc>
      </w:tr>
      <w:tr w14:paraId="602192D5">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7FC7F083">
            <w:pPr>
              <w:spacing w:line="360" w:lineRule="auto"/>
              <w:jc w:val="center"/>
              <w:rPr>
                <w:szCs w:val="21"/>
              </w:rPr>
            </w:pPr>
            <w:r>
              <w:rPr>
                <w:szCs w:val="21"/>
              </w:rPr>
              <w:t>3.3</w:t>
            </w:r>
            <w:r>
              <w:rPr>
                <w:rFonts w:hint="eastAsia"/>
                <w:szCs w:val="21"/>
              </w:rPr>
              <w:t>.1</w:t>
            </w:r>
          </w:p>
        </w:tc>
        <w:tc>
          <w:tcPr>
            <w:tcW w:w="1726" w:type="dxa"/>
            <w:tcBorders>
              <w:top w:val="single" w:color="auto" w:sz="4" w:space="0"/>
              <w:left w:val="single" w:color="auto" w:sz="4" w:space="0"/>
              <w:bottom w:val="single" w:color="auto" w:sz="4" w:space="0"/>
              <w:right w:val="single" w:color="auto" w:sz="4" w:space="0"/>
            </w:tcBorders>
            <w:vAlign w:val="center"/>
          </w:tcPr>
          <w:p w14:paraId="3462C92D">
            <w:pPr>
              <w:spacing w:line="360" w:lineRule="auto"/>
              <w:jc w:val="center"/>
              <w:rPr>
                <w:szCs w:val="21"/>
              </w:rPr>
            </w:pPr>
            <w:r>
              <w:rPr>
                <w:szCs w:val="21"/>
              </w:rPr>
              <w:t>投标有效期</w:t>
            </w:r>
          </w:p>
        </w:tc>
        <w:tc>
          <w:tcPr>
            <w:tcW w:w="6072" w:type="dxa"/>
            <w:tcBorders>
              <w:top w:val="single" w:color="auto" w:sz="4" w:space="0"/>
              <w:left w:val="single" w:color="auto" w:sz="4" w:space="0"/>
              <w:bottom w:val="single" w:color="auto" w:sz="4" w:space="0"/>
              <w:right w:val="single" w:color="auto" w:sz="4" w:space="0"/>
            </w:tcBorders>
            <w:vAlign w:val="center"/>
          </w:tcPr>
          <w:p w14:paraId="4CCC994A">
            <w:pPr>
              <w:spacing w:line="360" w:lineRule="auto"/>
              <w:rPr>
                <w:szCs w:val="21"/>
              </w:rPr>
            </w:pPr>
            <w:r>
              <w:rPr>
                <w:szCs w:val="21"/>
              </w:rPr>
              <w:t>自投标人</w:t>
            </w:r>
            <w:r>
              <w:rPr>
                <w:rFonts w:hint="eastAsia"/>
                <w:szCs w:val="21"/>
              </w:rPr>
              <w:t>递交</w:t>
            </w:r>
            <w:r>
              <w:rPr>
                <w:szCs w:val="21"/>
              </w:rPr>
              <w:t>投标文件截止之日起计算</w:t>
            </w:r>
            <w:r>
              <w:rPr>
                <w:rFonts w:hint="eastAsia"/>
                <w:szCs w:val="21"/>
                <w:u w:val="single"/>
              </w:rPr>
              <w:t>90</w:t>
            </w:r>
            <w:r>
              <w:rPr>
                <w:szCs w:val="21"/>
              </w:rPr>
              <w:t>日</w:t>
            </w:r>
          </w:p>
        </w:tc>
      </w:tr>
      <w:tr w14:paraId="4CE0B30E">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030AE540">
            <w:pPr>
              <w:spacing w:line="360" w:lineRule="auto"/>
              <w:jc w:val="center"/>
              <w:rPr>
                <w:szCs w:val="21"/>
              </w:rPr>
            </w:pPr>
            <w:r>
              <w:rPr>
                <w:szCs w:val="21"/>
              </w:rPr>
              <w:t>3.4.1</w:t>
            </w:r>
          </w:p>
        </w:tc>
        <w:tc>
          <w:tcPr>
            <w:tcW w:w="1726" w:type="dxa"/>
            <w:tcBorders>
              <w:top w:val="single" w:color="auto" w:sz="4" w:space="0"/>
              <w:left w:val="single" w:color="auto" w:sz="4" w:space="0"/>
              <w:bottom w:val="single" w:color="auto" w:sz="4" w:space="0"/>
              <w:right w:val="single" w:color="auto" w:sz="4" w:space="0"/>
            </w:tcBorders>
            <w:vAlign w:val="center"/>
          </w:tcPr>
          <w:p w14:paraId="540982FE">
            <w:pPr>
              <w:spacing w:line="360" w:lineRule="auto"/>
              <w:rPr>
                <w:szCs w:val="21"/>
              </w:rPr>
            </w:pPr>
            <w:r>
              <w:rPr>
                <w:rFonts w:hint="eastAsia"/>
                <w:szCs w:val="21"/>
              </w:rPr>
              <w:t>投标保证金</w:t>
            </w:r>
          </w:p>
        </w:tc>
        <w:tc>
          <w:tcPr>
            <w:tcW w:w="6072" w:type="dxa"/>
            <w:tcBorders>
              <w:top w:val="single" w:color="auto" w:sz="4" w:space="0"/>
              <w:left w:val="single" w:color="auto" w:sz="4" w:space="0"/>
              <w:bottom w:val="single" w:color="auto" w:sz="4" w:space="0"/>
              <w:right w:val="single" w:color="auto" w:sz="4" w:space="0"/>
            </w:tcBorders>
            <w:vAlign w:val="center"/>
          </w:tcPr>
          <w:p w14:paraId="0BF333B4">
            <w:pPr>
              <w:spacing w:line="360" w:lineRule="auto"/>
              <w:rPr>
                <w:szCs w:val="21"/>
              </w:rPr>
            </w:pPr>
            <w:r>
              <w:rPr>
                <w:rFonts w:hint="eastAsia"/>
                <w:szCs w:val="21"/>
              </w:rPr>
              <w:t>☑不要求递交投标保证金</w:t>
            </w:r>
          </w:p>
          <w:p w14:paraId="0C133A50">
            <w:pPr>
              <w:spacing w:line="360" w:lineRule="auto"/>
            </w:pPr>
            <w:r>
              <w:t>因供应商库中的单位已缴纳入库保证金，本项目不再要求投标保证金，如发生需扣除中标人投标保证金的情况，从中标人的入库保证金中扣除，本项目最高扣除投标价的2%。</w:t>
            </w:r>
          </w:p>
          <w:p w14:paraId="58B0D232">
            <w:pPr>
              <w:pStyle w:val="10"/>
            </w:pPr>
          </w:p>
          <w:p w14:paraId="127CBEC7">
            <w:pPr>
              <w:rPr>
                <w:szCs w:val="21"/>
              </w:rPr>
            </w:pPr>
            <w:r>
              <w:rPr>
                <w:rFonts w:hint="eastAsia"/>
                <w:szCs w:val="21"/>
              </w:rPr>
              <w:t>□要求递交投标保证金</w:t>
            </w:r>
          </w:p>
          <w:p w14:paraId="56AFA05F">
            <w:pPr>
              <w:rPr>
                <w:szCs w:val="21"/>
              </w:rPr>
            </w:pPr>
            <w:r>
              <w:rPr>
                <w:rFonts w:hint="eastAsia"/>
                <w:szCs w:val="21"/>
              </w:rPr>
              <w:t>投标保证金的形式：</w:t>
            </w:r>
            <w:bookmarkStart w:id="57" w:name="EB585e62fea5664c99a0ae00de432320a3"/>
            <w:r>
              <w:rPr>
                <w:rFonts w:hint="eastAsia"/>
                <w:szCs w:val="21"/>
              </w:rPr>
              <w:t>银行转账</w:t>
            </w:r>
            <w:bookmarkEnd w:id="57"/>
            <w:r>
              <w:rPr>
                <w:rFonts w:hint="eastAsia"/>
                <w:szCs w:val="21"/>
              </w:rPr>
              <w:t>或银行保函</w:t>
            </w:r>
          </w:p>
          <w:p w14:paraId="2AA852AD">
            <w:pPr>
              <w:pStyle w:val="4"/>
              <w:spacing w:line="240" w:lineRule="auto"/>
              <w:rPr>
                <w:rFonts w:ascii="Times New Roman" w:hAnsi="Times New Roman" w:eastAsia="宋体"/>
                <w:kern w:val="2"/>
                <w:sz w:val="21"/>
                <w:szCs w:val="21"/>
              </w:rPr>
            </w:pPr>
            <w:bookmarkStart w:id="58" w:name="_Toc30641"/>
            <w:r>
              <w:rPr>
                <w:rFonts w:ascii="Times New Roman" w:hAnsi="Times New Roman" w:eastAsia="宋体"/>
                <w:kern w:val="2"/>
                <w:sz w:val="21"/>
                <w:szCs w:val="21"/>
              </w:rPr>
              <w:t>招标人指定的接收投标保证金的开户银行及账号如下：</w:t>
            </w:r>
            <w:bookmarkEnd w:id="58"/>
          </w:p>
          <w:p w14:paraId="16787B7C">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账户名称： </w:t>
            </w:r>
            <w:r>
              <w:rPr>
                <w:rFonts w:hint="eastAsia"/>
                <w:color w:val="000000" w:themeColor="text1"/>
                <w:szCs w:val="21"/>
                <w:u w:val="single"/>
                <w14:textFill>
                  <w14:solidFill>
                    <w14:schemeClr w14:val="tx1"/>
                  </w14:solidFill>
                </w14:textFill>
              </w:rPr>
              <w:t xml:space="preserve">           </w:t>
            </w:r>
          </w:p>
          <w:p w14:paraId="27260636">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开户银行：</w:t>
            </w:r>
            <w:r>
              <w:rPr>
                <w:rFonts w:hint="eastAsia"/>
                <w:color w:val="000000" w:themeColor="text1"/>
                <w:szCs w:val="21"/>
                <w:u w:val="single"/>
                <w14:textFill>
                  <w14:solidFill>
                    <w14:schemeClr w14:val="tx1"/>
                  </w14:solidFill>
                </w14:textFill>
              </w:rPr>
              <w:t xml:space="preserve">            </w:t>
            </w:r>
          </w:p>
          <w:p w14:paraId="78C90800">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    号：</w:t>
            </w:r>
            <w:r>
              <w:rPr>
                <w:rFonts w:hint="eastAsia"/>
                <w:color w:val="000000" w:themeColor="text1"/>
                <w:szCs w:val="21"/>
                <w:u w:val="single"/>
                <w14:textFill>
                  <w14:solidFill>
                    <w14:schemeClr w14:val="tx1"/>
                  </w14:solidFill>
                </w14:textFill>
              </w:rPr>
              <w:t xml:space="preserve">            </w:t>
            </w:r>
          </w:p>
          <w:p w14:paraId="5344E5A7">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投标保证金的金额：人民币</w:t>
            </w:r>
            <w:r>
              <w:rPr>
                <w:rFonts w:hint="eastAsia"/>
                <w:color w:val="000000" w:themeColor="text1"/>
                <w:szCs w:val="21"/>
                <w:u w:val="single"/>
                <w14:textFill>
                  <w14:solidFill>
                    <w14:schemeClr w14:val="tx1"/>
                  </w14:solidFill>
                </w14:textFill>
              </w:rPr>
              <w:t xml:space="preserve">      </w:t>
            </w:r>
            <w:r>
              <w:rPr>
                <w:rFonts w:hint="eastAsia"/>
                <w:color w:val="000000" w:themeColor="text1"/>
                <w:szCs w:val="21"/>
                <w14:textFill>
                  <w14:solidFill>
                    <w14:schemeClr w14:val="tx1"/>
                  </w14:solidFill>
                </w14:textFill>
              </w:rPr>
              <w:t>万元</w:t>
            </w:r>
          </w:p>
          <w:p w14:paraId="152B290A">
            <w:pPr>
              <w:rPr>
                <w:szCs w:val="21"/>
              </w:rPr>
            </w:pPr>
            <w:r>
              <w:rPr>
                <w:rFonts w:hint="eastAsia"/>
                <w:szCs w:val="21"/>
              </w:rPr>
              <w:t xml:space="preserve">备注： </w:t>
            </w:r>
          </w:p>
          <w:p w14:paraId="33D2114B">
            <w:pPr>
              <w:numPr>
                <w:ilvl w:val="0"/>
                <w:numId w:val="1"/>
              </w:numPr>
            </w:pPr>
            <w:bookmarkStart w:id="59" w:name="EB98a980583c0a4d48824848b53bfef860"/>
            <w:r>
              <w:rPr>
                <w:rFonts w:hint="eastAsia"/>
                <w:szCs w:val="21"/>
              </w:rPr>
              <w:t>投标保证金的到账截止时间：至投标截止时间止（北京时间），以到账时间为准。</w:t>
            </w:r>
          </w:p>
          <w:p w14:paraId="1CEE279D">
            <w:pPr>
              <w:rPr>
                <w:szCs w:val="21"/>
              </w:rPr>
            </w:pPr>
            <w:r>
              <w:rPr>
                <w:rFonts w:hint="eastAsia"/>
                <w:szCs w:val="21"/>
              </w:rPr>
              <w:t>（2）以银行转账或银行电汇形式提交的投标保证金应当从其基本账户转出。投标保证金转出帐户名称应与投标人名称应完全一致。（提供基本户相关证明材料）</w:t>
            </w:r>
          </w:p>
          <w:bookmarkEnd w:id="59"/>
          <w:p w14:paraId="777282CE">
            <w:pPr>
              <w:rPr>
                <w:szCs w:val="21"/>
              </w:rPr>
            </w:pPr>
            <w:r>
              <w:rPr>
                <w:rFonts w:hint="eastAsia"/>
                <w:szCs w:val="21"/>
              </w:rPr>
              <w:t>（3）如采用银行保函，银行保函由合肥市行政区域范围（含四县一市）内的银行出具的见索即付无条件保函。保函原件在开标现场密封递交给招标人。</w:t>
            </w:r>
          </w:p>
          <w:p w14:paraId="7F1111B1">
            <w:pPr>
              <w:rPr>
                <w:szCs w:val="21"/>
              </w:rPr>
            </w:pPr>
            <w:r>
              <w:rPr>
                <w:rFonts w:hint="eastAsia"/>
                <w:szCs w:val="21"/>
              </w:rPr>
              <w:t>（4）投标人参与本项目多个标段投标的（如分多标段的），应该按标段分别递交投标保证金。未递交投标保证金的标段，其投标无效。</w:t>
            </w:r>
          </w:p>
        </w:tc>
      </w:tr>
      <w:tr w14:paraId="21D28BDE">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6341EE62">
            <w:pPr>
              <w:spacing w:line="360" w:lineRule="auto"/>
              <w:jc w:val="center"/>
              <w:rPr>
                <w:szCs w:val="21"/>
              </w:rPr>
            </w:pPr>
            <w:r>
              <w:rPr>
                <w:szCs w:val="21"/>
              </w:rPr>
              <w:t>3.</w:t>
            </w:r>
            <w:r>
              <w:rPr>
                <w:rFonts w:hint="eastAsia"/>
                <w:szCs w:val="21"/>
              </w:rPr>
              <w:t>6</w:t>
            </w:r>
            <w:r>
              <w:rPr>
                <w:szCs w:val="21"/>
              </w:rPr>
              <w:t>.4</w:t>
            </w:r>
          </w:p>
        </w:tc>
        <w:tc>
          <w:tcPr>
            <w:tcW w:w="1726" w:type="dxa"/>
            <w:tcBorders>
              <w:top w:val="single" w:color="auto" w:sz="4" w:space="0"/>
              <w:left w:val="single" w:color="auto" w:sz="4" w:space="0"/>
              <w:bottom w:val="single" w:color="auto" w:sz="4" w:space="0"/>
              <w:right w:val="single" w:color="auto" w:sz="4" w:space="0"/>
            </w:tcBorders>
            <w:vAlign w:val="center"/>
          </w:tcPr>
          <w:p w14:paraId="73631EAF">
            <w:pPr>
              <w:spacing w:line="360" w:lineRule="auto"/>
              <w:jc w:val="center"/>
              <w:rPr>
                <w:szCs w:val="21"/>
              </w:rPr>
            </w:pPr>
            <w:r>
              <w:rPr>
                <w:rFonts w:hint="eastAsia"/>
                <w:bCs/>
                <w:snapToGrid w:val="0"/>
                <w:kern w:val="0"/>
                <w:szCs w:val="21"/>
              </w:rPr>
              <w:t>非加密电子投标文件、纸质版投标文件递交要求</w:t>
            </w:r>
          </w:p>
        </w:tc>
        <w:tc>
          <w:tcPr>
            <w:tcW w:w="6072" w:type="dxa"/>
            <w:tcBorders>
              <w:top w:val="single" w:color="auto" w:sz="4" w:space="0"/>
              <w:left w:val="single" w:color="auto" w:sz="4" w:space="0"/>
              <w:bottom w:val="single" w:color="auto" w:sz="4" w:space="0"/>
              <w:right w:val="single" w:color="auto" w:sz="4" w:space="0"/>
            </w:tcBorders>
            <w:vAlign w:val="center"/>
          </w:tcPr>
          <w:p w14:paraId="3C9D0DCB">
            <w:pPr>
              <w:spacing w:line="360" w:lineRule="auto"/>
              <w:rPr>
                <w:sz w:val="32"/>
                <w:szCs w:val="32"/>
              </w:rPr>
            </w:pPr>
            <w:r>
              <w:rPr>
                <w:sz w:val="32"/>
                <w:szCs w:val="32"/>
              </w:rPr>
              <w:t>□</w:t>
            </w:r>
            <w:r>
              <w:rPr>
                <w:szCs w:val="21"/>
              </w:rPr>
              <w:t>无需提供。</w:t>
            </w:r>
          </w:p>
          <w:p w14:paraId="70270613">
            <w:pPr>
              <w:pBdr>
                <w:top w:val="none" w:color="000000" w:sz="0" w:space="3"/>
                <w:left w:val="none" w:color="000000" w:sz="0" w:space="3"/>
                <w:bottom w:val="none" w:color="000000" w:sz="0" w:space="3"/>
                <w:right w:val="none" w:color="000000" w:sz="0" w:space="3"/>
                <w:between w:val="none" w:color="000000" w:sz="0" w:space="0"/>
              </w:pBdr>
              <w:spacing w:line="360" w:lineRule="auto"/>
              <w:rPr>
                <w:szCs w:val="21"/>
              </w:rPr>
            </w:pPr>
            <w:r>
              <w:rPr>
                <w:rFonts w:hint="eastAsia" w:cs="楷体"/>
                <w:bCs/>
                <w:color w:val="0000FF"/>
                <w:szCs w:val="21"/>
              </w:rPr>
              <w:t>☑</w:t>
            </w:r>
            <w:r>
              <w:rPr>
                <w:bCs/>
                <w:szCs w:val="21"/>
              </w:rPr>
              <w:t>非加密电子投标文件：</w:t>
            </w:r>
            <w:r>
              <w:rPr>
                <w:szCs w:val="21"/>
                <w:u w:val="single"/>
              </w:rPr>
              <w:t xml:space="preserve"> 1 </w:t>
            </w:r>
            <w:r>
              <w:rPr>
                <w:szCs w:val="21"/>
              </w:rPr>
              <w:t>份，中标人</w:t>
            </w:r>
            <w:r>
              <w:rPr>
                <w:rFonts w:hint="eastAsia"/>
                <w:szCs w:val="21"/>
              </w:rPr>
              <w:t>在中标后</w:t>
            </w:r>
            <w:r>
              <w:rPr>
                <w:szCs w:val="21"/>
              </w:rPr>
              <w:t>提交至招标人处。</w:t>
            </w:r>
          </w:p>
          <w:p w14:paraId="2421053C">
            <w:pPr>
              <w:spacing w:line="360" w:lineRule="auto"/>
              <w:rPr>
                <w:szCs w:val="21"/>
              </w:rPr>
            </w:pPr>
            <w:r>
              <w:rPr>
                <w:rFonts w:hint="eastAsia" w:cs="楷体"/>
                <w:bCs/>
                <w:color w:val="0000FF"/>
                <w:szCs w:val="21"/>
              </w:rPr>
              <w:t>☑</w:t>
            </w:r>
            <w:r>
              <w:rPr>
                <w:rFonts w:hint="eastAsia" w:eastAsia="‹ÎSå"/>
                <w:b/>
                <w:bCs/>
                <w:szCs w:val="21"/>
              </w:rPr>
              <w:t>纸质版投标文件：</w:t>
            </w:r>
            <w:r>
              <w:rPr>
                <w:bCs/>
                <w:szCs w:val="21"/>
              </w:rPr>
              <w:t>份数及密封要求见招标公告中描述</w:t>
            </w:r>
            <w:r>
              <w:rPr>
                <w:szCs w:val="21"/>
              </w:rPr>
              <w:t>。</w:t>
            </w:r>
          </w:p>
        </w:tc>
      </w:tr>
      <w:tr w14:paraId="3896C8B6">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254C788D">
            <w:pPr>
              <w:spacing w:line="360" w:lineRule="auto"/>
              <w:jc w:val="center"/>
              <w:rPr>
                <w:szCs w:val="21"/>
              </w:rPr>
            </w:pPr>
            <w:r>
              <w:rPr>
                <w:szCs w:val="21"/>
              </w:rPr>
              <w:t>4.1.2</w:t>
            </w:r>
          </w:p>
        </w:tc>
        <w:tc>
          <w:tcPr>
            <w:tcW w:w="1726" w:type="dxa"/>
            <w:tcBorders>
              <w:top w:val="single" w:color="auto" w:sz="4" w:space="0"/>
              <w:left w:val="single" w:color="auto" w:sz="4" w:space="0"/>
              <w:bottom w:val="single" w:color="auto" w:sz="4" w:space="0"/>
              <w:right w:val="single" w:color="auto" w:sz="4" w:space="0"/>
            </w:tcBorders>
            <w:vAlign w:val="center"/>
          </w:tcPr>
          <w:p w14:paraId="01B975D8">
            <w:pPr>
              <w:spacing w:line="360" w:lineRule="auto"/>
              <w:jc w:val="center"/>
              <w:rPr>
                <w:szCs w:val="21"/>
              </w:rPr>
            </w:pPr>
            <w:r>
              <w:rPr>
                <w:rFonts w:hint="eastAsia"/>
                <w:bCs/>
                <w:snapToGrid w:val="0"/>
                <w:kern w:val="0"/>
                <w:szCs w:val="21"/>
              </w:rPr>
              <w:t>非加密电子投标文件、纸质版投标文件</w:t>
            </w:r>
            <w:r>
              <w:t>密封和标记要求</w:t>
            </w:r>
          </w:p>
        </w:tc>
        <w:tc>
          <w:tcPr>
            <w:tcW w:w="6072" w:type="dxa"/>
            <w:tcBorders>
              <w:top w:val="single" w:color="auto" w:sz="4" w:space="0"/>
              <w:left w:val="single" w:color="auto" w:sz="4" w:space="0"/>
              <w:bottom w:val="single" w:color="auto" w:sz="4" w:space="0"/>
              <w:right w:val="single" w:color="auto" w:sz="4" w:space="0"/>
            </w:tcBorders>
            <w:vAlign w:val="center"/>
          </w:tcPr>
          <w:p w14:paraId="42EA90EC">
            <w:pPr>
              <w:snapToGrid w:val="0"/>
              <w:spacing w:line="300" w:lineRule="auto"/>
            </w:pPr>
            <w:r>
              <w:rPr>
                <w:rFonts w:hint="eastAsia"/>
                <w:bCs/>
                <w:snapToGrid w:val="0"/>
                <w:kern w:val="0"/>
                <w:szCs w:val="21"/>
              </w:rPr>
              <w:t>非加密电子投标文件</w:t>
            </w:r>
            <w:r>
              <w:t>封套：</w:t>
            </w:r>
          </w:p>
          <w:p w14:paraId="3BC68315">
            <w:pPr>
              <w:snapToGrid w:val="0"/>
              <w:spacing w:line="300" w:lineRule="auto"/>
            </w:pPr>
            <w:r>
              <w:t>投标人地址：</w:t>
            </w:r>
            <w:r>
              <w:rPr>
                <w:u w:val="single"/>
              </w:rPr>
              <w:t xml:space="preserve">            </w:t>
            </w:r>
          </w:p>
          <w:p w14:paraId="499F82D6">
            <w:pPr>
              <w:snapToGrid w:val="0"/>
              <w:spacing w:line="300" w:lineRule="auto"/>
            </w:pPr>
            <w:r>
              <w:t>投标人名称：</w:t>
            </w:r>
            <w:r>
              <w:rPr>
                <w:u w:val="single"/>
              </w:rPr>
              <w:t xml:space="preserve">            </w:t>
            </w:r>
          </w:p>
          <w:p w14:paraId="076B2D27">
            <w:pPr>
              <w:snapToGrid w:val="0"/>
              <w:spacing w:line="300" w:lineRule="auto"/>
            </w:pPr>
            <w:r>
              <w:rPr>
                <w:rFonts w:hint="eastAsia"/>
                <w:szCs w:val="21"/>
                <w:u w:val="single"/>
              </w:rPr>
              <w:t xml:space="preserve">        </w:t>
            </w:r>
            <w:r>
              <w:rPr>
                <w:rFonts w:hint="eastAsia"/>
                <w:szCs w:val="21"/>
              </w:rPr>
              <w:t>（项目名称）</w:t>
            </w:r>
            <w:r>
              <w:rPr>
                <w:rFonts w:hint="eastAsia"/>
                <w:szCs w:val="21"/>
                <w:u w:val="single"/>
              </w:rPr>
              <w:t xml:space="preserve">    </w:t>
            </w:r>
            <w:r>
              <w:rPr>
                <w:rFonts w:hint="eastAsia"/>
                <w:szCs w:val="21"/>
              </w:rPr>
              <w:t>标段非加密电子投标文件</w:t>
            </w:r>
          </w:p>
          <w:p w14:paraId="35AFE9BD">
            <w:pPr>
              <w:snapToGrid w:val="0"/>
              <w:spacing w:line="300" w:lineRule="auto"/>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分前不得开启</w:t>
            </w:r>
          </w:p>
          <w:p w14:paraId="38A6D6D2">
            <w:pPr>
              <w:snapToGrid w:val="0"/>
              <w:spacing w:line="300" w:lineRule="auto"/>
            </w:pPr>
          </w:p>
          <w:p w14:paraId="738C03FD">
            <w:pPr>
              <w:snapToGrid w:val="0"/>
              <w:spacing w:line="300" w:lineRule="auto"/>
            </w:pPr>
            <w:r>
              <w:rPr>
                <w:rFonts w:hint="eastAsia"/>
                <w:bCs/>
                <w:snapToGrid w:val="0"/>
                <w:kern w:val="0"/>
                <w:szCs w:val="21"/>
              </w:rPr>
              <w:t>纸质版投标文件</w:t>
            </w:r>
            <w:r>
              <w:t>封套：</w:t>
            </w:r>
          </w:p>
          <w:p w14:paraId="5D81E89C">
            <w:pPr>
              <w:snapToGrid w:val="0"/>
              <w:spacing w:line="300" w:lineRule="auto"/>
            </w:pPr>
            <w:r>
              <w:t>投标人地址</w:t>
            </w:r>
            <w:r>
              <w:rPr>
                <w:u w:val="single"/>
              </w:rPr>
              <w:t xml:space="preserve">：            </w:t>
            </w:r>
          </w:p>
          <w:p w14:paraId="5BC5917F">
            <w:pPr>
              <w:snapToGrid w:val="0"/>
              <w:spacing w:line="300" w:lineRule="auto"/>
            </w:pPr>
            <w:r>
              <w:t>投标人名称：</w:t>
            </w:r>
            <w:r>
              <w:rPr>
                <w:u w:val="single"/>
              </w:rPr>
              <w:t xml:space="preserve">            </w:t>
            </w:r>
          </w:p>
          <w:p w14:paraId="456B9366">
            <w:pPr>
              <w:snapToGrid w:val="0"/>
              <w:spacing w:line="300" w:lineRule="auto"/>
            </w:pPr>
            <w:r>
              <w:rPr>
                <w:rFonts w:hint="eastAsia"/>
                <w:szCs w:val="21"/>
                <w:u w:val="single"/>
              </w:rPr>
              <w:t xml:space="preserve">        </w:t>
            </w:r>
            <w:r>
              <w:rPr>
                <w:rFonts w:hint="eastAsia"/>
                <w:szCs w:val="21"/>
              </w:rPr>
              <w:t>（项目名称）</w:t>
            </w:r>
            <w:r>
              <w:rPr>
                <w:rFonts w:hint="eastAsia"/>
                <w:szCs w:val="21"/>
                <w:u w:val="single"/>
              </w:rPr>
              <w:t xml:space="preserve">    </w:t>
            </w:r>
            <w:r>
              <w:rPr>
                <w:rFonts w:hint="eastAsia"/>
                <w:szCs w:val="21"/>
              </w:rPr>
              <w:t>标段纸质版投标文件</w:t>
            </w:r>
          </w:p>
          <w:p w14:paraId="4B0276DD">
            <w:pPr>
              <w:spacing w:line="300" w:lineRule="auto"/>
              <w:rPr>
                <w:szCs w:val="21"/>
              </w:rPr>
            </w:pPr>
            <w:r>
              <w:t>在</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分前不得开启</w:t>
            </w:r>
          </w:p>
        </w:tc>
      </w:tr>
      <w:tr w14:paraId="352967C6">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0B9ED273">
            <w:pPr>
              <w:spacing w:line="360" w:lineRule="auto"/>
              <w:jc w:val="center"/>
              <w:rPr>
                <w:szCs w:val="21"/>
              </w:rPr>
            </w:pPr>
            <w:r>
              <w:rPr>
                <w:color w:val="000000"/>
              </w:rPr>
              <w:t>4.2.1</w:t>
            </w:r>
          </w:p>
        </w:tc>
        <w:tc>
          <w:tcPr>
            <w:tcW w:w="1726" w:type="dxa"/>
            <w:tcBorders>
              <w:top w:val="single" w:color="auto" w:sz="4" w:space="0"/>
              <w:left w:val="single" w:color="auto" w:sz="4" w:space="0"/>
              <w:bottom w:val="single" w:color="auto" w:sz="4" w:space="0"/>
              <w:right w:val="single" w:color="auto" w:sz="4" w:space="0"/>
            </w:tcBorders>
            <w:vAlign w:val="center"/>
          </w:tcPr>
          <w:p w14:paraId="66FC4191">
            <w:pPr>
              <w:spacing w:line="360" w:lineRule="auto"/>
              <w:jc w:val="center"/>
              <w:rPr>
                <w:bCs/>
                <w:snapToGrid w:val="0"/>
                <w:kern w:val="0"/>
                <w:szCs w:val="21"/>
              </w:rPr>
            </w:pPr>
            <w:r>
              <w:t>投标截止时间</w:t>
            </w:r>
          </w:p>
        </w:tc>
        <w:tc>
          <w:tcPr>
            <w:tcW w:w="6072" w:type="dxa"/>
            <w:tcBorders>
              <w:top w:val="single" w:color="auto" w:sz="4" w:space="0"/>
              <w:left w:val="single" w:color="auto" w:sz="4" w:space="0"/>
              <w:bottom w:val="single" w:color="auto" w:sz="4" w:space="0"/>
              <w:right w:val="single" w:color="auto" w:sz="4" w:space="0"/>
            </w:tcBorders>
            <w:vAlign w:val="center"/>
          </w:tcPr>
          <w:p w14:paraId="766C55ED">
            <w:pPr>
              <w:spacing w:line="360" w:lineRule="auto"/>
              <w:jc w:val="left"/>
              <w:rPr>
                <w:bCs/>
                <w:snapToGrid w:val="0"/>
                <w:kern w:val="0"/>
                <w:szCs w:val="21"/>
              </w:rPr>
            </w:pPr>
            <w:r>
              <w:rPr>
                <w:szCs w:val="21"/>
              </w:rPr>
              <w:t>同</w:t>
            </w:r>
            <w:r>
              <w:rPr>
                <w:rFonts w:hint="eastAsia"/>
                <w:szCs w:val="21"/>
              </w:rPr>
              <w:t>开标</w:t>
            </w:r>
            <w:r>
              <w:rPr>
                <w:szCs w:val="21"/>
              </w:rPr>
              <w:t>时间</w:t>
            </w:r>
          </w:p>
        </w:tc>
      </w:tr>
      <w:tr w14:paraId="379AC913">
        <w:tblPrEx>
          <w:tblCellMar>
            <w:top w:w="0" w:type="dxa"/>
            <w:left w:w="108" w:type="dxa"/>
            <w:bottom w:w="0" w:type="dxa"/>
            <w:right w:w="108" w:type="dxa"/>
          </w:tblCellMar>
        </w:tblPrEx>
        <w:trPr>
          <w:trHeight w:val="880" w:hRule="atLeast"/>
          <w:jc w:val="center"/>
        </w:trPr>
        <w:tc>
          <w:tcPr>
            <w:tcW w:w="1241" w:type="dxa"/>
            <w:tcBorders>
              <w:top w:val="single" w:color="auto" w:sz="4" w:space="0"/>
              <w:left w:val="single" w:color="auto" w:sz="4" w:space="0"/>
              <w:right w:val="single" w:color="auto" w:sz="4" w:space="0"/>
            </w:tcBorders>
            <w:vAlign w:val="center"/>
          </w:tcPr>
          <w:p w14:paraId="107EE861">
            <w:pPr>
              <w:spacing w:line="360" w:lineRule="auto"/>
              <w:jc w:val="center"/>
              <w:rPr>
                <w:szCs w:val="21"/>
              </w:rPr>
            </w:pPr>
            <w:r>
              <w:rPr>
                <w:szCs w:val="21"/>
              </w:rPr>
              <w:t>5.1</w:t>
            </w:r>
          </w:p>
        </w:tc>
        <w:tc>
          <w:tcPr>
            <w:tcW w:w="1726" w:type="dxa"/>
            <w:tcBorders>
              <w:top w:val="single" w:color="auto" w:sz="4" w:space="0"/>
              <w:left w:val="single" w:color="auto" w:sz="4" w:space="0"/>
              <w:right w:val="single" w:color="auto" w:sz="4" w:space="0"/>
            </w:tcBorders>
            <w:vAlign w:val="center"/>
          </w:tcPr>
          <w:p w14:paraId="6FA595B8">
            <w:pPr>
              <w:spacing w:line="360" w:lineRule="auto"/>
              <w:jc w:val="center"/>
              <w:rPr>
                <w:szCs w:val="21"/>
              </w:rPr>
            </w:pPr>
            <w:r>
              <w:rPr>
                <w:rFonts w:hint="eastAsia"/>
                <w:szCs w:val="21"/>
              </w:rPr>
              <w:t>开标时间和地点</w:t>
            </w:r>
          </w:p>
        </w:tc>
        <w:tc>
          <w:tcPr>
            <w:tcW w:w="6072" w:type="dxa"/>
            <w:tcBorders>
              <w:top w:val="single" w:color="auto" w:sz="4" w:space="0"/>
              <w:left w:val="single" w:color="auto" w:sz="4" w:space="0"/>
              <w:right w:val="single" w:color="auto" w:sz="4" w:space="0"/>
            </w:tcBorders>
            <w:vAlign w:val="center"/>
          </w:tcPr>
          <w:p w14:paraId="3E6DB4CC">
            <w:pPr>
              <w:spacing w:line="360" w:lineRule="auto"/>
              <w:rPr>
                <w:szCs w:val="21"/>
              </w:rPr>
            </w:pPr>
            <w:r>
              <w:rPr>
                <w:szCs w:val="21"/>
              </w:rPr>
              <w:t>开标时间</w:t>
            </w:r>
            <w:r>
              <w:rPr>
                <w:rFonts w:hint="eastAsia"/>
                <w:szCs w:val="21"/>
              </w:rPr>
              <w:t>：</w:t>
            </w:r>
            <w:r>
              <w:rPr>
                <w:rFonts w:hint="eastAsia"/>
              </w:rPr>
              <w:t>见招标公告</w:t>
            </w:r>
          </w:p>
          <w:p w14:paraId="11BDC0D1">
            <w:pPr>
              <w:spacing w:line="360" w:lineRule="auto"/>
              <w:rPr>
                <w:szCs w:val="21"/>
              </w:rPr>
            </w:pPr>
            <w:r>
              <w:rPr>
                <w:szCs w:val="21"/>
              </w:rPr>
              <w:t>开标地点</w:t>
            </w:r>
            <w:r>
              <w:rPr>
                <w:rFonts w:hint="eastAsia"/>
                <w:szCs w:val="21"/>
              </w:rPr>
              <w:t>：</w:t>
            </w:r>
            <w:r>
              <w:rPr>
                <w:rFonts w:hint="eastAsia"/>
                <w:snapToGrid w:val="0"/>
                <w:kern w:val="0"/>
                <w:szCs w:val="21"/>
                <w:u w:val="single"/>
                <w:shd w:val="clear" w:color="auto" w:fill="FFFFFF"/>
              </w:rPr>
              <w:t>见招标公告</w:t>
            </w:r>
          </w:p>
        </w:tc>
      </w:tr>
      <w:tr w14:paraId="2F3127C7">
        <w:tblPrEx>
          <w:tblCellMar>
            <w:top w:w="0" w:type="dxa"/>
            <w:left w:w="108" w:type="dxa"/>
            <w:bottom w:w="0" w:type="dxa"/>
            <w:right w:w="108" w:type="dxa"/>
          </w:tblCellMar>
        </w:tblPrEx>
        <w:trPr>
          <w:trHeight w:val="880" w:hRule="atLeast"/>
          <w:jc w:val="center"/>
        </w:trPr>
        <w:tc>
          <w:tcPr>
            <w:tcW w:w="1241" w:type="dxa"/>
            <w:tcBorders>
              <w:top w:val="single" w:color="auto" w:sz="4" w:space="0"/>
              <w:left w:val="single" w:color="auto" w:sz="4" w:space="0"/>
              <w:right w:val="single" w:color="auto" w:sz="4" w:space="0"/>
            </w:tcBorders>
            <w:vAlign w:val="center"/>
          </w:tcPr>
          <w:p w14:paraId="4820ABC1">
            <w:pPr>
              <w:spacing w:line="360" w:lineRule="auto"/>
              <w:jc w:val="center"/>
              <w:rPr>
                <w:szCs w:val="21"/>
              </w:rPr>
            </w:pPr>
            <w:r>
              <w:rPr>
                <w:rFonts w:hint="eastAsia"/>
                <w:szCs w:val="21"/>
              </w:rPr>
              <w:t>7.2</w:t>
            </w:r>
          </w:p>
        </w:tc>
        <w:tc>
          <w:tcPr>
            <w:tcW w:w="1726" w:type="dxa"/>
            <w:tcBorders>
              <w:top w:val="single" w:color="auto" w:sz="4" w:space="0"/>
              <w:left w:val="single" w:color="auto" w:sz="4" w:space="0"/>
              <w:right w:val="single" w:color="auto" w:sz="4" w:space="0"/>
            </w:tcBorders>
            <w:vAlign w:val="center"/>
          </w:tcPr>
          <w:p w14:paraId="2869DA64">
            <w:pPr>
              <w:spacing w:line="360" w:lineRule="auto"/>
              <w:jc w:val="center"/>
              <w:rPr>
                <w:szCs w:val="21"/>
              </w:rPr>
            </w:pPr>
            <w:r>
              <w:rPr>
                <w:rFonts w:hint="eastAsia"/>
                <w:szCs w:val="21"/>
              </w:rPr>
              <w:t>中标候选人公示媒介</w:t>
            </w:r>
          </w:p>
        </w:tc>
        <w:tc>
          <w:tcPr>
            <w:tcW w:w="6072" w:type="dxa"/>
            <w:tcBorders>
              <w:top w:val="single" w:color="auto" w:sz="4" w:space="0"/>
              <w:left w:val="single" w:color="auto" w:sz="4" w:space="0"/>
              <w:right w:val="single" w:color="auto" w:sz="4" w:space="0"/>
            </w:tcBorders>
            <w:vAlign w:val="center"/>
          </w:tcPr>
          <w:p w14:paraId="7FEBE88B">
            <w:pPr>
              <w:spacing w:line="360" w:lineRule="auto"/>
              <w:rPr>
                <w:szCs w:val="21"/>
              </w:rPr>
            </w:pPr>
            <w:r>
              <w:rPr>
                <w:rFonts w:hint="eastAsia"/>
                <w:szCs w:val="21"/>
              </w:rPr>
              <w:t>公示媒介：同招标公告发布媒介</w:t>
            </w:r>
          </w:p>
          <w:p w14:paraId="184521DF">
            <w:pPr>
              <w:spacing w:line="360" w:lineRule="auto"/>
              <w:rPr>
                <w:szCs w:val="21"/>
              </w:rPr>
            </w:pPr>
            <w:r>
              <w:rPr>
                <w:rFonts w:hint="eastAsia"/>
                <w:szCs w:val="21"/>
              </w:rPr>
              <w:t>公示期限：</w:t>
            </w:r>
            <w:r>
              <w:rPr>
                <w:rFonts w:hint="eastAsia"/>
                <w:szCs w:val="21"/>
                <w:u w:val="single"/>
              </w:rPr>
              <w:t xml:space="preserve"> 2 </w:t>
            </w:r>
            <w:r>
              <w:rPr>
                <w:rFonts w:hint="eastAsia"/>
                <w:szCs w:val="21"/>
              </w:rPr>
              <w:t>日</w:t>
            </w:r>
          </w:p>
        </w:tc>
      </w:tr>
      <w:tr w14:paraId="5857020F">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0BCFC6E0">
            <w:pPr>
              <w:spacing w:line="360" w:lineRule="auto"/>
              <w:jc w:val="center"/>
              <w:rPr>
                <w:szCs w:val="21"/>
              </w:rPr>
            </w:pPr>
            <w:r>
              <w:rPr>
                <w:szCs w:val="21"/>
              </w:rPr>
              <w:t>7.</w:t>
            </w:r>
            <w:r>
              <w:rPr>
                <w:rFonts w:hint="eastAsia"/>
                <w:szCs w:val="21"/>
              </w:rPr>
              <w:t>4</w:t>
            </w:r>
            <w:r>
              <w:rPr>
                <w:szCs w:val="21"/>
              </w:rPr>
              <w:t>.1</w:t>
            </w:r>
          </w:p>
        </w:tc>
        <w:tc>
          <w:tcPr>
            <w:tcW w:w="1726" w:type="dxa"/>
            <w:tcBorders>
              <w:top w:val="single" w:color="auto" w:sz="4" w:space="0"/>
              <w:left w:val="single" w:color="auto" w:sz="4" w:space="0"/>
              <w:bottom w:val="single" w:color="auto" w:sz="4" w:space="0"/>
              <w:right w:val="single" w:color="auto" w:sz="4" w:space="0"/>
            </w:tcBorders>
            <w:vAlign w:val="center"/>
          </w:tcPr>
          <w:p w14:paraId="3D0D4116">
            <w:pPr>
              <w:spacing w:line="360" w:lineRule="auto"/>
              <w:jc w:val="center"/>
              <w:rPr>
                <w:szCs w:val="21"/>
              </w:rPr>
            </w:pPr>
            <w:r>
              <w:rPr>
                <w:szCs w:val="21"/>
              </w:rPr>
              <w:t>履约担保</w:t>
            </w:r>
          </w:p>
        </w:tc>
        <w:tc>
          <w:tcPr>
            <w:tcW w:w="6072" w:type="dxa"/>
            <w:tcBorders>
              <w:top w:val="single" w:color="auto" w:sz="4" w:space="0"/>
              <w:left w:val="single" w:color="auto" w:sz="4" w:space="0"/>
              <w:bottom w:val="single" w:color="auto" w:sz="4" w:space="0"/>
              <w:right w:val="single" w:color="auto" w:sz="4" w:space="0"/>
            </w:tcBorders>
            <w:vAlign w:val="center"/>
          </w:tcPr>
          <w:p w14:paraId="4086CE4C">
            <w:pPr>
              <w:spacing w:line="360" w:lineRule="auto"/>
              <w:rPr>
                <w:szCs w:val="21"/>
              </w:rPr>
            </w:pPr>
            <w:r>
              <w:rPr>
                <w:szCs w:val="21"/>
              </w:rPr>
              <w:t>是否要求中标人提交履约保证金：</w:t>
            </w:r>
          </w:p>
          <w:p w14:paraId="0EA50344">
            <w:pPr>
              <w:spacing w:line="360" w:lineRule="auto"/>
              <w:rPr>
                <w:szCs w:val="21"/>
                <w:highlight w:val="yellow"/>
              </w:rPr>
            </w:pPr>
            <w:r>
              <w:rPr>
                <w:rFonts w:hint="eastAsia"/>
                <w:bCs/>
                <w:szCs w:val="21"/>
                <w:highlight w:val="yellow"/>
              </w:rPr>
              <w:t>☑</w:t>
            </w:r>
            <w:r>
              <w:rPr>
                <w:szCs w:val="21"/>
                <w:highlight w:val="yellow"/>
              </w:rPr>
              <w:t>要求</w:t>
            </w:r>
          </w:p>
          <w:p w14:paraId="6B7B1062">
            <w:pPr>
              <w:spacing w:line="360" w:lineRule="auto"/>
              <w:rPr>
                <w:bCs/>
                <w:szCs w:val="21"/>
                <w:highlight w:val="yellow"/>
              </w:rPr>
            </w:pPr>
            <w:r>
              <w:rPr>
                <w:szCs w:val="21"/>
                <w:highlight w:val="yellow"/>
              </w:rPr>
              <w:t>（1）履约担保的形式：</w:t>
            </w:r>
            <w:bookmarkStart w:id="60" w:name="EBbf7d1a7cf1904eb0a9d5ad6f728c2166"/>
            <w:bookmarkEnd w:id="60"/>
            <w:r>
              <w:rPr>
                <w:rFonts w:hint="eastAsia"/>
                <w:bCs/>
                <w:szCs w:val="21"/>
                <w:highlight w:val="yellow"/>
              </w:rPr>
              <w:t>☑</w:t>
            </w:r>
            <w:r>
              <w:rPr>
                <w:bCs/>
                <w:szCs w:val="21"/>
                <w:highlight w:val="yellow"/>
              </w:rPr>
              <w:t xml:space="preserve">银行转账  □银行电汇  </w:t>
            </w:r>
            <w:r>
              <w:rPr>
                <w:rFonts w:hint="eastAsia"/>
                <w:bCs/>
                <w:szCs w:val="21"/>
                <w:highlight w:val="yellow"/>
              </w:rPr>
              <w:t>☑</w:t>
            </w:r>
            <w:r>
              <w:rPr>
                <w:bCs/>
                <w:szCs w:val="21"/>
                <w:highlight w:val="yellow"/>
              </w:rPr>
              <w:t xml:space="preserve">银行保函   </w:t>
            </w:r>
            <w:r>
              <w:rPr>
                <w:rFonts w:hint="eastAsia"/>
                <w:bCs/>
                <w:szCs w:val="21"/>
                <w:highlight w:val="yellow"/>
              </w:rPr>
              <w:t>□</w:t>
            </w:r>
            <w:r>
              <w:rPr>
                <w:bCs/>
                <w:szCs w:val="21"/>
                <w:highlight w:val="yellow"/>
              </w:rPr>
              <w:t xml:space="preserve">担保机构担保 </w:t>
            </w:r>
            <w:r>
              <w:rPr>
                <w:rFonts w:hint="eastAsia"/>
                <w:bCs/>
                <w:szCs w:val="21"/>
                <w:highlight w:val="yellow"/>
              </w:rPr>
              <w:t>□</w:t>
            </w:r>
            <w:r>
              <w:rPr>
                <w:bCs/>
                <w:szCs w:val="21"/>
                <w:highlight w:val="yellow"/>
              </w:rPr>
              <w:t>保证保险</w:t>
            </w:r>
          </w:p>
          <w:p w14:paraId="6B3060C8">
            <w:pPr>
              <w:spacing w:line="360" w:lineRule="auto"/>
              <w:rPr>
                <w:szCs w:val="21"/>
                <w:highlight w:val="yellow"/>
                <w:u w:val="single"/>
              </w:rPr>
            </w:pPr>
            <w:r>
              <w:rPr>
                <w:szCs w:val="21"/>
                <w:highlight w:val="yellow"/>
              </w:rPr>
              <w:t>（2）履约担保的金额：</w:t>
            </w:r>
            <w:r>
              <w:rPr>
                <w:rFonts w:hint="eastAsia"/>
                <w:szCs w:val="21"/>
                <w:highlight w:val="yellow"/>
                <w:u w:val="single"/>
              </w:rPr>
              <w:t>中标金额的5%</w:t>
            </w:r>
          </w:p>
          <w:p w14:paraId="39FDC920">
            <w:pPr>
              <w:spacing w:line="360" w:lineRule="auto"/>
              <w:rPr>
                <w:szCs w:val="21"/>
              </w:rPr>
            </w:pPr>
            <w:r>
              <w:rPr>
                <w:szCs w:val="21"/>
              </w:rPr>
              <w:t>（3）如采用银行转账、电汇方式的，招标人指定的接收履约保证金的开户银行及账号：</w:t>
            </w:r>
          </w:p>
          <w:p w14:paraId="58199CD3">
            <w:pPr>
              <w:spacing w:line="360" w:lineRule="auto"/>
              <w:jc w:val="left"/>
              <w:rPr>
                <w:szCs w:val="21"/>
              </w:rPr>
            </w:pPr>
            <w:r>
              <w:rPr>
                <w:rFonts w:hint="eastAsia"/>
                <w:szCs w:val="21"/>
              </w:rPr>
              <w:t>账户名称：</w:t>
            </w:r>
            <w:r>
              <w:rPr>
                <w:rFonts w:hint="eastAsia"/>
                <w:szCs w:val="21"/>
                <w:u w:val="single"/>
              </w:rPr>
              <w:t xml:space="preserve">      </w:t>
            </w:r>
          </w:p>
          <w:p w14:paraId="69A24070">
            <w:pPr>
              <w:spacing w:line="360" w:lineRule="auto"/>
              <w:jc w:val="left"/>
              <w:rPr>
                <w:szCs w:val="21"/>
              </w:rPr>
            </w:pPr>
            <w:r>
              <w:rPr>
                <w:rFonts w:hint="eastAsia"/>
                <w:szCs w:val="21"/>
              </w:rPr>
              <w:t>开户银行：</w:t>
            </w:r>
            <w:r>
              <w:rPr>
                <w:rFonts w:hint="eastAsia"/>
                <w:szCs w:val="21"/>
                <w:u w:val="single"/>
              </w:rPr>
              <w:t xml:space="preserve">       </w:t>
            </w:r>
          </w:p>
          <w:p w14:paraId="108EF736">
            <w:pPr>
              <w:spacing w:line="360" w:lineRule="auto"/>
              <w:jc w:val="left"/>
              <w:rPr>
                <w:szCs w:val="21"/>
              </w:rPr>
            </w:pPr>
            <w:r>
              <w:rPr>
                <w:rFonts w:hint="eastAsia"/>
                <w:szCs w:val="21"/>
              </w:rPr>
              <w:t>账    号：</w:t>
            </w:r>
            <w:r>
              <w:rPr>
                <w:rFonts w:hint="eastAsia"/>
                <w:szCs w:val="21"/>
                <w:u w:val="single"/>
              </w:rPr>
              <w:t xml:space="preserve">       </w:t>
            </w:r>
          </w:p>
          <w:p w14:paraId="57AE8305">
            <w:pPr>
              <w:spacing w:line="360" w:lineRule="auto"/>
              <w:rPr>
                <w:bCs/>
                <w:szCs w:val="21"/>
              </w:rPr>
            </w:pPr>
            <w:r>
              <w:rPr>
                <w:szCs w:val="21"/>
              </w:rPr>
              <w:t>（4）</w:t>
            </w:r>
            <w:r>
              <w:rPr>
                <w:bCs/>
                <w:szCs w:val="21"/>
              </w:rPr>
              <w:t>如采用银行保函，银行保函应为合肥行政区域（含四县一市）具有分支机构的银行出具的见索即付无条件保函。</w:t>
            </w:r>
          </w:p>
          <w:p w14:paraId="5CE53DB1">
            <w:pPr>
              <w:spacing w:line="360" w:lineRule="auto"/>
              <w:rPr>
                <w:bCs/>
                <w:szCs w:val="21"/>
              </w:rPr>
            </w:pPr>
            <w:r>
              <w:rPr>
                <w:szCs w:val="21"/>
              </w:rPr>
              <w:t>（5）</w:t>
            </w:r>
            <w:r>
              <w:rPr>
                <w:bCs/>
                <w:szCs w:val="21"/>
              </w:rPr>
              <w:t>如采用担保机构担保，应为注册地在合肥行政区域（含四县一市）范围内的融资担保机构或经安徽省地方金融监督管理局备案的融资担保机构出具的无条件担保。</w:t>
            </w:r>
          </w:p>
          <w:p w14:paraId="617C9833">
            <w:r>
              <w:rPr>
                <w:bCs/>
                <w:szCs w:val="21"/>
              </w:rPr>
              <w:t>（6）履约保证金退还时间：项目</w:t>
            </w:r>
            <w:r>
              <w:rPr>
                <w:rFonts w:hint="eastAsia"/>
                <w:bCs/>
                <w:szCs w:val="21"/>
              </w:rPr>
              <w:t>完工</w:t>
            </w:r>
            <w:r>
              <w:rPr>
                <w:bCs/>
                <w:szCs w:val="21"/>
              </w:rPr>
              <w:t>验收合格后，中标人申请退还。</w:t>
            </w:r>
            <w:r>
              <w:rPr>
                <w:rFonts w:hint="eastAsia"/>
                <w:bCs/>
                <w:szCs w:val="21"/>
              </w:rPr>
              <w:t>如递交保函，保函有效期不低于项目实施周期。</w:t>
            </w:r>
          </w:p>
          <w:p w14:paraId="03E7C1C2">
            <w:pPr>
              <w:spacing w:line="360" w:lineRule="auto"/>
              <w:rPr>
                <w:szCs w:val="21"/>
              </w:rPr>
            </w:pPr>
            <w:r>
              <w:rPr>
                <w:rFonts w:hint="eastAsia" w:cs="楷体"/>
                <w:bCs/>
                <w:szCs w:val="21"/>
              </w:rPr>
              <w:t>☑</w:t>
            </w:r>
            <w:r>
              <w:rPr>
                <w:szCs w:val="21"/>
              </w:rPr>
              <w:t>不要求</w:t>
            </w:r>
          </w:p>
          <w:p w14:paraId="6D00F229">
            <w:pPr>
              <w:spacing w:line="360" w:lineRule="auto"/>
              <w:rPr>
                <w:szCs w:val="21"/>
              </w:rPr>
            </w:pPr>
          </w:p>
        </w:tc>
      </w:tr>
      <w:tr w14:paraId="4522C366">
        <w:tblPrEx>
          <w:tblCellMar>
            <w:top w:w="0" w:type="dxa"/>
            <w:left w:w="108" w:type="dxa"/>
            <w:bottom w:w="0" w:type="dxa"/>
            <w:right w:w="108" w:type="dxa"/>
          </w:tblCellMar>
        </w:tblPrEx>
        <w:trPr>
          <w:jc w:val="center"/>
        </w:trPr>
        <w:tc>
          <w:tcPr>
            <w:tcW w:w="9039" w:type="dxa"/>
            <w:gridSpan w:val="3"/>
            <w:tcBorders>
              <w:top w:val="single" w:color="auto" w:sz="4" w:space="0"/>
              <w:left w:val="single" w:color="auto" w:sz="4" w:space="0"/>
              <w:bottom w:val="single" w:color="auto" w:sz="4" w:space="0"/>
              <w:right w:val="single" w:color="auto" w:sz="4" w:space="0"/>
            </w:tcBorders>
            <w:vAlign w:val="center"/>
          </w:tcPr>
          <w:p w14:paraId="1CF6DA55">
            <w:pPr>
              <w:spacing w:line="360" w:lineRule="auto"/>
              <w:jc w:val="center"/>
              <w:rPr>
                <w:b/>
                <w:szCs w:val="21"/>
              </w:rPr>
            </w:pPr>
          </w:p>
        </w:tc>
      </w:tr>
      <w:tr w14:paraId="0228A8CD">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61AEF5B2">
            <w:pPr>
              <w:spacing w:line="360" w:lineRule="auto"/>
              <w:jc w:val="center"/>
              <w:rPr>
                <w:b/>
                <w:szCs w:val="21"/>
              </w:rPr>
            </w:pPr>
            <w:r>
              <w:rPr>
                <w:rFonts w:hint="eastAsia"/>
                <w:b/>
                <w:szCs w:val="21"/>
              </w:rPr>
              <w:t>9</w:t>
            </w:r>
          </w:p>
        </w:tc>
        <w:tc>
          <w:tcPr>
            <w:tcW w:w="7798" w:type="dxa"/>
            <w:gridSpan w:val="2"/>
            <w:tcBorders>
              <w:top w:val="single" w:color="auto" w:sz="4" w:space="0"/>
              <w:left w:val="single" w:color="auto" w:sz="4" w:space="0"/>
              <w:bottom w:val="single" w:color="auto" w:sz="4" w:space="0"/>
              <w:right w:val="single" w:color="auto" w:sz="4" w:space="0"/>
            </w:tcBorders>
            <w:vAlign w:val="center"/>
          </w:tcPr>
          <w:p w14:paraId="10149F1C">
            <w:pPr>
              <w:spacing w:line="360" w:lineRule="auto"/>
              <w:jc w:val="center"/>
              <w:rPr>
                <w:b/>
                <w:szCs w:val="21"/>
              </w:rPr>
            </w:pPr>
            <w:r>
              <w:rPr>
                <w:rFonts w:hint="eastAsia"/>
                <w:b/>
                <w:szCs w:val="21"/>
              </w:rPr>
              <w:t>需要</w:t>
            </w:r>
            <w:r>
              <w:rPr>
                <w:b/>
                <w:szCs w:val="21"/>
              </w:rPr>
              <w:t>补充</w:t>
            </w:r>
            <w:r>
              <w:rPr>
                <w:rFonts w:hint="eastAsia"/>
                <w:b/>
                <w:szCs w:val="21"/>
              </w:rPr>
              <w:t>的其他</w:t>
            </w:r>
            <w:r>
              <w:rPr>
                <w:b/>
                <w:szCs w:val="21"/>
              </w:rPr>
              <w:t>内容</w:t>
            </w:r>
          </w:p>
        </w:tc>
      </w:tr>
      <w:tr w14:paraId="47D4EF55">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6CE079B7">
            <w:pPr>
              <w:spacing w:line="360" w:lineRule="auto"/>
              <w:jc w:val="center"/>
              <w:rPr>
                <w:szCs w:val="21"/>
              </w:rPr>
            </w:pPr>
            <w:r>
              <w:rPr>
                <w:rFonts w:hint="eastAsia"/>
                <w:szCs w:val="21"/>
              </w:rPr>
              <w:t>9.1</w:t>
            </w:r>
          </w:p>
        </w:tc>
        <w:tc>
          <w:tcPr>
            <w:tcW w:w="1726" w:type="dxa"/>
            <w:tcBorders>
              <w:top w:val="single" w:color="auto" w:sz="4" w:space="0"/>
              <w:left w:val="single" w:color="auto" w:sz="4" w:space="0"/>
              <w:bottom w:val="single" w:color="auto" w:sz="4" w:space="0"/>
              <w:right w:val="single" w:color="auto" w:sz="4" w:space="0"/>
            </w:tcBorders>
            <w:vAlign w:val="center"/>
          </w:tcPr>
          <w:p w14:paraId="7AAA58FD">
            <w:pPr>
              <w:spacing w:line="360" w:lineRule="auto"/>
              <w:jc w:val="center"/>
              <w:rPr>
                <w:szCs w:val="21"/>
              </w:rPr>
            </w:pPr>
            <w:r>
              <w:rPr>
                <w:rFonts w:hint="eastAsia"/>
                <w:szCs w:val="21"/>
              </w:rPr>
              <w:t>承包方式</w:t>
            </w:r>
          </w:p>
        </w:tc>
        <w:tc>
          <w:tcPr>
            <w:tcW w:w="6072" w:type="dxa"/>
            <w:tcBorders>
              <w:top w:val="single" w:color="auto" w:sz="4" w:space="0"/>
              <w:left w:val="single" w:color="auto" w:sz="4" w:space="0"/>
              <w:bottom w:val="single" w:color="auto" w:sz="4" w:space="0"/>
              <w:right w:val="single" w:color="auto" w:sz="4" w:space="0"/>
            </w:tcBorders>
            <w:vAlign w:val="center"/>
          </w:tcPr>
          <w:p w14:paraId="7424EE3F">
            <w:pPr>
              <w:spacing w:line="360" w:lineRule="auto"/>
              <w:rPr>
                <w:szCs w:val="21"/>
              </w:rPr>
            </w:pPr>
            <w:r>
              <w:rPr>
                <w:szCs w:val="21"/>
              </w:rPr>
              <w:t>包工、包料、包质量、包安全、包文明、包工期</w:t>
            </w:r>
          </w:p>
        </w:tc>
      </w:tr>
      <w:tr w14:paraId="39A9DD21">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4EEE60E0">
            <w:pPr>
              <w:spacing w:line="360" w:lineRule="auto"/>
              <w:jc w:val="center"/>
              <w:rPr>
                <w:szCs w:val="21"/>
              </w:rPr>
            </w:pPr>
            <w:r>
              <w:rPr>
                <w:rFonts w:hint="eastAsia"/>
                <w:szCs w:val="21"/>
              </w:rPr>
              <w:t>9.2</w:t>
            </w:r>
          </w:p>
        </w:tc>
        <w:tc>
          <w:tcPr>
            <w:tcW w:w="1726" w:type="dxa"/>
            <w:tcBorders>
              <w:top w:val="single" w:color="auto" w:sz="4" w:space="0"/>
              <w:left w:val="single" w:color="auto" w:sz="4" w:space="0"/>
              <w:bottom w:val="single" w:color="auto" w:sz="4" w:space="0"/>
              <w:right w:val="single" w:color="auto" w:sz="4" w:space="0"/>
            </w:tcBorders>
            <w:vAlign w:val="center"/>
          </w:tcPr>
          <w:p w14:paraId="2A0758C7">
            <w:pPr>
              <w:spacing w:line="360" w:lineRule="auto"/>
              <w:jc w:val="center"/>
              <w:rPr>
                <w:szCs w:val="21"/>
              </w:rPr>
            </w:pPr>
            <w:r>
              <w:rPr>
                <w:rFonts w:hint="eastAsia"/>
                <w:szCs w:val="21"/>
              </w:rPr>
              <w:t>分包</w:t>
            </w:r>
          </w:p>
        </w:tc>
        <w:tc>
          <w:tcPr>
            <w:tcW w:w="6072" w:type="dxa"/>
            <w:tcBorders>
              <w:top w:val="single" w:color="auto" w:sz="4" w:space="0"/>
              <w:left w:val="single" w:color="auto" w:sz="4" w:space="0"/>
              <w:bottom w:val="single" w:color="auto" w:sz="4" w:space="0"/>
              <w:right w:val="single" w:color="auto" w:sz="4" w:space="0"/>
            </w:tcBorders>
            <w:vAlign w:val="center"/>
          </w:tcPr>
          <w:p w14:paraId="76E5973E">
            <w:pPr>
              <w:spacing w:line="360" w:lineRule="auto"/>
              <w:rPr>
                <w:szCs w:val="21"/>
              </w:rPr>
            </w:pPr>
            <w:r>
              <w:rPr>
                <w:rFonts w:hint="eastAsia"/>
                <w:szCs w:val="21"/>
              </w:rPr>
              <w:t>☑不允许</w:t>
            </w:r>
          </w:p>
          <w:p w14:paraId="60E81444">
            <w:pPr>
              <w:spacing w:line="360" w:lineRule="auto"/>
              <w:rPr>
                <w:szCs w:val="21"/>
              </w:rPr>
            </w:pPr>
            <w:r>
              <w:rPr>
                <w:rFonts w:hint="eastAsia"/>
                <w:szCs w:val="21"/>
              </w:rPr>
              <w:t>□允许，</w:t>
            </w:r>
            <w:r>
              <w:rPr>
                <w:rFonts w:hint="eastAsia"/>
                <w:bCs/>
                <w:szCs w:val="21"/>
              </w:rPr>
              <w:t>允许分包的专业工程</w:t>
            </w:r>
            <w:r>
              <w:rPr>
                <w:rFonts w:hint="eastAsia"/>
                <w:szCs w:val="21"/>
              </w:rPr>
              <w:t>：经招标人和监理人书面同意，中标人可以将其他非主体、非关键性专业工程分包给第三人。</w:t>
            </w:r>
          </w:p>
          <w:p w14:paraId="425E6086">
            <w:pPr>
              <w:spacing w:line="360" w:lineRule="auto"/>
              <w:rPr>
                <w:szCs w:val="21"/>
              </w:rPr>
            </w:pPr>
            <w:r>
              <w:rPr>
                <w:rFonts w:hint="eastAsia"/>
                <w:szCs w:val="21"/>
              </w:rPr>
              <w:t>投标人可在投标文件中注明拟分包的专业工程及拟分包单位资质、业绩等情况。</w:t>
            </w:r>
          </w:p>
        </w:tc>
      </w:tr>
      <w:tr w14:paraId="6F0B1530">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44951CC5">
            <w:pPr>
              <w:spacing w:line="360" w:lineRule="auto"/>
              <w:jc w:val="center"/>
              <w:rPr>
                <w:szCs w:val="21"/>
              </w:rPr>
            </w:pPr>
            <w:r>
              <w:rPr>
                <w:rFonts w:hint="eastAsia"/>
                <w:szCs w:val="21"/>
              </w:rPr>
              <w:t>9.3</w:t>
            </w:r>
          </w:p>
        </w:tc>
        <w:tc>
          <w:tcPr>
            <w:tcW w:w="1726" w:type="dxa"/>
            <w:tcBorders>
              <w:top w:val="single" w:color="auto" w:sz="4" w:space="0"/>
              <w:left w:val="single" w:color="auto" w:sz="4" w:space="0"/>
              <w:bottom w:val="single" w:color="auto" w:sz="4" w:space="0"/>
              <w:right w:val="single" w:color="auto" w:sz="4" w:space="0"/>
            </w:tcBorders>
            <w:vAlign w:val="center"/>
          </w:tcPr>
          <w:p w14:paraId="277D8CFB">
            <w:pPr>
              <w:spacing w:line="360" w:lineRule="auto"/>
              <w:jc w:val="center"/>
              <w:rPr>
                <w:szCs w:val="21"/>
              </w:rPr>
            </w:pPr>
            <w:r>
              <w:rPr>
                <w:rFonts w:hint="eastAsia"/>
                <w:bCs/>
                <w:szCs w:val="21"/>
              </w:rPr>
              <w:t>主要材料要求</w:t>
            </w:r>
          </w:p>
        </w:tc>
        <w:tc>
          <w:tcPr>
            <w:tcW w:w="6072" w:type="dxa"/>
            <w:tcBorders>
              <w:top w:val="single" w:color="auto" w:sz="4" w:space="0"/>
              <w:left w:val="single" w:color="auto" w:sz="4" w:space="0"/>
              <w:bottom w:val="single" w:color="auto" w:sz="4" w:space="0"/>
              <w:right w:val="single" w:color="auto" w:sz="4" w:space="0"/>
            </w:tcBorders>
            <w:vAlign w:val="center"/>
          </w:tcPr>
          <w:p w14:paraId="169643BD">
            <w:pPr>
              <w:snapToGrid w:val="0"/>
              <w:spacing w:line="360" w:lineRule="auto"/>
              <w:rPr>
                <w:bCs/>
                <w:snapToGrid w:val="0"/>
                <w:kern w:val="0"/>
                <w:szCs w:val="21"/>
              </w:rPr>
            </w:pPr>
            <w:r>
              <w:rPr>
                <w:rFonts w:hint="eastAsia"/>
                <w:bCs/>
                <w:snapToGrid w:val="0"/>
                <w:kern w:val="0"/>
                <w:szCs w:val="21"/>
              </w:rPr>
              <w:t>□主要材料甲供，其他材料由中标人自行采购。</w:t>
            </w:r>
          </w:p>
          <w:p w14:paraId="1DB1793D">
            <w:pPr>
              <w:snapToGrid w:val="0"/>
              <w:spacing w:line="360" w:lineRule="auto"/>
              <w:rPr>
                <w:b/>
                <w:snapToGrid w:val="0"/>
                <w:kern w:val="0"/>
                <w:szCs w:val="21"/>
              </w:rPr>
            </w:pPr>
            <w:r>
              <w:rPr>
                <w:rFonts w:hint="eastAsia"/>
                <w:b/>
                <w:snapToGrid w:val="0"/>
                <w:color w:val="0000FF"/>
                <w:kern w:val="0"/>
                <w:szCs w:val="21"/>
              </w:rPr>
              <w:t>☑主要材料由中标人自行采购</w:t>
            </w:r>
          </w:p>
          <w:p w14:paraId="3C84C8E4">
            <w:pPr>
              <w:snapToGrid w:val="0"/>
              <w:spacing w:line="360" w:lineRule="auto"/>
              <w:rPr>
                <w:szCs w:val="21"/>
              </w:rPr>
            </w:pPr>
            <w:r>
              <w:rPr>
                <w:rFonts w:hint="eastAsia"/>
                <w:szCs w:val="21"/>
              </w:rPr>
              <w:t>（1）中标人自行采购的材料应满足设计和规范要求的质量等级，并须按有关技术规范要求对材料质量进行检验。中标人选定的材料供应厂家和价格须经招标人和监理单位认可。如招标人和监理单位对某种或某些材料的质量有异议，有权提出停止使用的要求，中标人必须服从该要求。若该材料经权威检验部门鉴定确有质量问题，由此而发生的一切费用由中标人自负；若鉴定无质量问题，因此发生的一切费用由招标人自行负责。</w:t>
            </w:r>
          </w:p>
          <w:p w14:paraId="4D1BA15A">
            <w:pPr>
              <w:snapToGrid w:val="0"/>
              <w:spacing w:line="360" w:lineRule="auto"/>
              <w:rPr>
                <w:szCs w:val="21"/>
              </w:rPr>
            </w:pPr>
            <w:r>
              <w:rPr>
                <w:rFonts w:hint="eastAsia"/>
                <w:szCs w:val="21"/>
              </w:rPr>
              <w:t>（2）因中标人自行采购的材料质量引起的工程质量问题由中标人承担所造成的一切损失。</w:t>
            </w:r>
          </w:p>
          <w:p w14:paraId="3809E152">
            <w:pPr>
              <w:snapToGrid w:val="0"/>
              <w:spacing w:line="360" w:lineRule="auto"/>
            </w:pPr>
            <w:r>
              <w:rPr>
                <w:rFonts w:hint="eastAsia"/>
                <w:szCs w:val="21"/>
              </w:rPr>
              <w:t>（3）中标人自行采购的材料必须选用招标人推荐的品牌或不低于推荐品牌质量标准的其他品牌；采用其他品牌的应附附件注明详细品牌、相关技术参数、业绩等经评审小组评审，未附附件且为提供相关参数、业绩，或经评审小组评审未通过的，中标后只能从业主推荐品牌中进行选择，价格不予调整。另投标单位在投标时必须注明投标时参考的品牌。</w:t>
            </w:r>
          </w:p>
          <w:p w14:paraId="6E15E8A5">
            <w:pPr>
              <w:snapToGrid w:val="0"/>
              <w:spacing w:line="360" w:lineRule="auto"/>
              <w:rPr>
                <w:szCs w:val="21"/>
              </w:rPr>
            </w:pPr>
            <w:r>
              <w:rPr>
                <w:rFonts w:hint="eastAsia"/>
                <w:szCs w:val="21"/>
              </w:rPr>
              <w:t>本工程乙方购买材料中，甲方推荐的材料（设备）及厂家、品牌如下：</w:t>
            </w:r>
          </w:p>
          <w:tbl>
            <w:tblPr>
              <w:tblStyle w:val="17"/>
              <w:tblW w:w="5233" w:type="dxa"/>
              <w:jc w:val="center"/>
              <w:tblLayout w:type="fixed"/>
              <w:tblCellMar>
                <w:top w:w="0" w:type="dxa"/>
                <w:left w:w="10" w:type="dxa"/>
                <w:bottom w:w="0" w:type="dxa"/>
                <w:right w:w="10" w:type="dxa"/>
              </w:tblCellMar>
            </w:tblPr>
            <w:tblGrid>
              <w:gridCol w:w="704"/>
              <w:gridCol w:w="1122"/>
              <w:gridCol w:w="1112"/>
              <w:gridCol w:w="2295"/>
            </w:tblGrid>
            <w:tr w14:paraId="2D0B6D40">
              <w:tblPrEx>
                <w:tblCellMar>
                  <w:top w:w="0" w:type="dxa"/>
                  <w:left w:w="10" w:type="dxa"/>
                  <w:bottom w:w="0" w:type="dxa"/>
                  <w:right w:w="10" w:type="dxa"/>
                </w:tblCellMar>
              </w:tblPrEx>
              <w:trPr>
                <w:trHeight w:val="469" w:hRule="atLeast"/>
                <w:jc w:val="center"/>
              </w:trPr>
              <w:tc>
                <w:tcPr>
                  <w:tcW w:w="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8AE452">
                  <w:pPr>
                    <w:jc w:val="center"/>
                    <w:rPr>
                      <w:szCs w:val="21"/>
                    </w:rPr>
                  </w:pPr>
                  <w:r>
                    <w:rPr>
                      <w:szCs w:val="21"/>
                    </w:rPr>
                    <w:t>序号</w:t>
                  </w:r>
                </w:p>
              </w:tc>
              <w:tc>
                <w:tcPr>
                  <w:tcW w:w="1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660AA9">
                  <w:pPr>
                    <w:jc w:val="center"/>
                    <w:rPr>
                      <w:szCs w:val="21"/>
                    </w:rPr>
                  </w:pPr>
                  <w:r>
                    <w:rPr>
                      <w:szCs w:val="21"/>
                    </w:rPr>
                    <w:t>材料名称</w:t>
                  </w:r>
                </w:p>
              </w:tc>
              <w:tc>
                <w:tcPr>
                  <w:tcW w:w="111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B3CC50">
                  <w:pPr>
                    <w:jc w:val="center"/>
                    <w:rPr>
                      <w:szCs w:val="21"/>
                    </w:rPr>
                  </w:pPr>
                  <w:r>
                    <w:rPr>
                      <w:szCs w:val="21"/>
                    </w:rPr>
                    <w:t>技术标准和要求</w:t>
                  </w:r>
                </w:p>
              </w:tc>
              <w:tc>
                <w:tcPr>
                  <w:tcW w:w="229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B1E782">
                  <w:pPr>
                    <w:jc w:val="center"/>
                    <w:rPr>
                      <w:szCs w:val="21"/>
                    </w:rPr>
                  </w:pPr>
                  <w:r>
                    <w:rPr>
                      <w:szCs w:val="21"/>
                    </w:rPr>
                    <w:t>品牌或厂家</w:t>
                  </w:r>
                </w:p>
              </w:tc>
            </w:tr>
            <w:tr w14:paraId="46820811">
              <w:tblPrEx>
                <w:tblCellMar>
                  <w:top w:w="0" w:type="dxa"/>
                  <w:left w:w="10" w:type="dxa"/>
                  <w:bottom w:w="0" w:type="dxa"/>
                  <w:right w:w="10" w:type="dxa"/>
                </w:tblCellMar>
              </w:tblPrEx>
              <w:trPr>
                <w:trHeight w:val="506" w:hRule="atLeast"/>
                <w:jc w:val="center"/>
              </w:trPr>
              <w:tc>
                <w:tcPr>
                  <w:tcW w:w="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6AF004">
                  <w:pPr>
                    <w:jc w:val="center"/>
                    <w:rPr>
                      <w:szCs w:val="21"/>
                    </w:rPr>
                  </w:pPr>
                  <w:r>
                    <w:rPr>
                      <w:szCs w:val="21"/>
                    </w:rPr>
                    <w:t>1</w:t>
                  </w:r>
                </w:p>
              </w:tc>
              <w:tc>
                <w:tcPr>
                  <w:tcW w:w="1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869308">
                  <w:pPr>
                    <w:widowControl/>
                    <w:jc w:val="left"/>
                    <w:rPr>
                      <w:rFonts w:hint="eastAsia" w:ascii="宋体" w:hAnsi="宋体" w:cs="宋体"/>
                      <w:szCs w:val="21"/>
                    </w:rPr>
                  </w:pPr>
                </w:p>
              </w:tc>
              <w:tc>
                <w:tcPr>
                  <w:tcW w:w="111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CC381FB">
                  <w:pPr>
                    <w:jc w:val="center"/>
                    <w:rPr>
                      <w:szCs w:val="21"/>
                    </w:rPr>
                  </w:pPr>
                </w:p>
              </w:tc>
              <w:tc>
                <w:tcPr>
                  <w:tcW w:w="229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5E5F7D">
                  <w:pPr>
                    <w:widowControl/>
                    <w:jc w:val="left"/>
                    <w:rPr>
                      <w:szCs w:val="21"/>
                    </w:rPr>
                  </w:pPr>
                </w:p>
              </w:tc>
            </w:tr>
            <w:tr w14:paraId="52D2F476">
              <w:tblPrEx>
                <w:tblCellMar>
                  <w:top w:w="0" w:type="dxa"/>
                  <w:left w:w="10" w:type="dxa"/>
                  <w:bottom w:w="0" w:type="dxa"/>
                  <w:right w:w="10" w:type="dxa"/>
                </w:tblCellMar>
              </w:tblPrEx>
              <w:trPr>
                <w:trHeight w:val="476" w:hRule="atLeast"/>
                <w:jc w:val="center"/>
              </w:trPr>
              <w:tc>
                <w:tcPr>
                  <w:tcW w:w="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7C3CDC">
                  <w:pPr>
                    <w:jc w:val="center"/>
                    <w:rPr>
                      <w:szCs w:val="21"/>
                    </w:rPr>
                  </w:pPr>
                  <w:r>
                    <w:rPr>
                      <w:szCs w:val="21"/>
                    </w:rPr>
                    <w:t>2</w:t>
                  </w:r>
                </w:p>
              </w:tc>
              <w:tc>
                <w:tcPr>
                  <w:tcW w:w="1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377EBF">
                  <w:pPr>
                    <w:widowControl/>
                    <w:jc w:val="left"/>
                    <w:rPr>
                      <w:szCs w:val="21"/>
                    </w:rPr>
                  </w:pPr>
                </w:p>
              </w:tc>
              <w:tc>
                <w:tcPr>
                  <w:tcW w:w="111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06090E">
                  <w:pPr>
                    <w:jc w:val="center"/>
                    <w:rPr>
                      <w:szCs w:val="21"/>
                    </w:rPr>
                  </w:pPr>
                </w:p>
              </w:tc>
              <w:tc>
                <w:tcPr>
                  <w:tcW w:w="229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96233F">
                  <w:pPr>
                    <w:widowControl/>
                    <w:jc w:val="left"/>
                    <w:rPr>
                      <w:szCs w:val="21"/>
                    </w:rPr>
                  </w:pPr>
                </w:p>
              </w:tc>
            </w:tr>
            <w:tr w14:paraId="5B235C0E">
              <w:tblPrEx>
                <w:tblCellMar>
                  <w:top w:w="0" w:type="dxa"/>
                  <w:left w:w="10" w:type="dxa"/>
                  <w:bottom w:w="0" w:type="dxa"/>
                  <w:right w:w="10" w:type="dxa"/>
                </w:tblCellMar>
              </w:tblPrEx>
              <w:trPr>
                <w:trHeight w:val="506" w:hRule="atLeast"/>
                <w:jc w:val="center"/>
              </w:trPr>
              <w:tc>
                <w:tcPr>
                  <w:tcW w:w="7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F94523">
                  <w:pPr>
                    <w:jc w:val="center"/>
                    <w:rPr>
                      <w:szCs w:val="21"/>
                    </w:rPr>
                  </w:pPr>
                  <w:r>
                    <w:rPr>
                      <w:szCs w:val="21"/>
                    </w:rPr>
                    <w:t>3</w:t>
                  </w:r>
                </w:p>
              </w:tc>
              <w:tc>
                <w:tcPr>
                  <w:tcW w:w="11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E0344">
                  <w:pPr>
                    <w:widowControl/>
                    <w:jc w:val="left"/>
                    <w:rPr>
                      <w:rFonts w:hint="eastAsia" w:ascii="宋体" w:hAnsi="宋体" w:cs="宋体"/>
                      <w:szCs w:val="21"/>
                    </w:rPr>
                  </w:pPr>
                </w:p>
              </w:tc>
              <w:tc>
                <w:tcPr>
                  <w:tcW w:w="111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302059">
                  <w:pPr>
                    <w:jc w:val="center"/>
                    <w:rPr>
                      <w:szCs w:val="21"/>
                    </w:rPr>
                  </w:pPr>
                </w:p>
              </w:tc>
              <w:tc>
                <w:tcPr>
                  <w:tcW w:w="229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55BC3E">
                  <w:pPr>
                    <w:widowControl/>
                    <w:jc w:val="left"/>
                    <w:rPr>
                      <w:rFonts w:hint="eastAsia" w:ascii="宋体" w:hAnsi="宋体" w:cs="宋体"/>
                      <w:szCs w:val="21"/>
                    </w:rPr>
                  </w:pPr>
                </w:p>
              </w:tc>
            </w:tr>
          </w:tbl>
          <w:p w14:paraId="768F7480">
            <w:pPr>
              <w:snapToGrid w:val="0"/>
              <w:spacing w:line="360" w:lineRule="auto"/>
              <w:rPr>
                <w:szCs w:val="21"/>
              </w:rPr>
            </w:pPr>
            <w:r>
              <w:rPr>
                <w:rFonts w:hint="eastAsia"/>
                <w:szCs w:val="21"/>
              </w:rPr>
              <w:t>注：所有非甲供材均需符合国标，并提供质量合格证及检验报告（保温材料还需出具燃烧等级相关检验证明）。同时，上述材料还需通过建设单位、总包单位相关材料验收规定。</w:t>
            </w:r>
          </w:p>
          <w:p w14:paraId="78755685">
            <w:pPr>
              <w:snapToGrid w:val="0"/>
              <w:spacing w:line="360" w:lineRule="auto"/>
              <w:rPr>
                <w:szCs w:val="21"/>
              </w:rPr>
            </w:pPr>
            <w:r>
              <w:rPr>
                <w:rFonts w:hint="eastAsia"/>
                <w:szCs w:val="21"/>
              </w:rPr>
              <w:t>（4）中标人需在工程开工前3天内提供采购样品封存，实际采购材料应与封存样品一致。</w:t>
            </w:r>
          </w:p>
          <w:p w14:paraId="48852E9E">
            <w:pPr>
              <w:snapToGrid w:val="0"/>
              <w:spacing w:line="360" w:lineRule="auto"/>
              <w:rPr>
                <w:szCs w:val="21"/>
              </w:rPr>
            </w:pPr>
            <w:r>
              <w:rPr>
                <w:rFonts w:hint="eastAsia"/>
                <w:szCs w:val="21"/>
              </w:rPr>
              <w:t>（5）主要材料（钢管、热镀锌钢管）价格调整办法</w:t>
            </w:r>
          </w:p>
          <w:p w14:paraId="385A3871">
            <w:pPr>
              <w:snapToGrid w:val="0"/>
              <w:spacing w:line="360" w:lineRule="auto"/>
              <w:rPr>
                <w:szCs w:val="21"/>
              </w:rPr>
            </w:pPr>
            <w:r>
              <w:rPr>
                <w:rFonts w:hint="eastAsia"/>
                <w:szCs w:val="21"/>
              </w:rPr>
              <w:t>1）依据投标时的《工程造价信息》发布的材料价格信息确定投标报价的基准价格。</w:t>
            </w:r>
          </w:p>
          <w:p w14:paraId="7834271B">
            <w:pPr>
              <w:snapToGrid w:val="0"/>
              <w:spacing w:line="360" w:lineRule="auto"/>
              <w:rPr>
                <w:szCs w:val="21"/>
              </w:rPr>
            </w:pPr>
            <w:r>
              <w:rPr>
                <w:rFonts w:hint="eastAsia"/>
                <w:szCs w:val="21"/>
              </w:rPr>
              <w:t>2）可调材料价格波动风险幅度约定为基准价的±15%。对比材料采购当期《工程造价信息》发布的材料价格信息：</w:t>
            </w:r>
          </w:p>
          <w:p w14:paraId="03CD31C5">
            <w:pPr>
              <w:snapToGrid w:val="0"/>
              <w:spacing w:line="360" w:lineRule="auto"/>
              <w:rPr>
                <w:szCs w:val="21"/>
              </w:rPr>
            </w:pPr>
            <w:r>
              <w:rPr>
                <w:rFonts w:hint="eastAsia"/>
                <w:szCs w:val="21"/>
              </w:rPr>
              <w:t>①从工程投标截止日到工程竣工期间波动幅度在基准价±15%以内的材料价格不作调整。</w:t>
            </w:r>
          </w:p>
          <w:p w14:paraId="71FB08E3">
            <w:pPr>
              <w:snapToGrid w:val="0"/>
              <w:spacing w:line="360" w:lineRule="auto"/>
              <w:rPr>
                <w:szCs w:val="21"/>
              </w:rPr>
            </w:pPr>
            <w:r>
              <w:rPr>
                <w:rFonts w:hint="eastAsia"/>
                <w:szCs w:val="21"/>
              </w:rPr>
              <w:t>②可调材料采购当期信息价上涨超过基准价15%的，调整超过基准价15%以上的价差（如报价高于基准价的，高于部分应作扣除，最多扣到不调为止）。</w:t>
            </w:r>
          </w:p>
          <w:p w14:paraId="4690E0C1">
            <w:pPr>
              <w:snapToGrid w:val="0"/>
              <w:spacing w:line="360" w:lineRule="auto"/>
              <w:rPr>
                <w:szCs w:val="21"/>
              </w:rPr>
            </w:pPr>
            <w:r>
              <w:rPr>
                <w:rFonts w:hint="eastAsia"/>
                <w:szCs w:val="21"/>
              </w:rPr>
              <w:t>③可调材料采购当期信息价下跌超过基准价15%的，调整超过基准价15%以外的价差（如报价低于基准价的，低于部分应作扣除，最多扣到不调为止）。</w:t>
            </w:r>
          </w:p>
          <w:p w14:paraId="3F0B225B">
            <w:pPr>
              <w:snapToGrid w:val="0"/>
              <w:spacing w:line="360" w:lineRule="auto"/>
              <w:rPr>
                <w:szCs w:val="21"/>
              </w:rPr>
            </w:pPr>
            <w:r>
              <w:rPr>
                <w:rFonts w:hint="eastAsia"/>
                <w:szCs w:val="21"/>
              </w:rPr>
              <w:t>3）价格调整仅调整主要原材料单价。其余辅材、人工费、包装费、运输费、保险费、检测费、资料费、售后服务费及合同实施过程中的不可预见费用等费用合同期内不作调整。</w:t>
            </w:r>
          </w:p>
          <w:p w14:paraId="2931D986">
            <w:pPr>
              <w:snapToGrid w:val="0"/>
              <w:spacing w:line="360" w:lineRule="auto"/>
              <w:rPr>
                <w:szCs w:val="21"/>
              </w:rPr>
            </w:pPr>
            <w:r>
              <w:rPr>
                <w:rFonts w:hint="eastAsia"/>
                <w:szCs w:val="21"/>
              </w:rPr>
              <w:t>4）执行合肥市最新相关政策文件规定。</w:t>
            </w:r>
          </w:p>
          <w:p w14:paraId="7872A2B2">
            <w:pPr>
              <w:snapToGrid w:val="0"/>
              <w:spacing w:line="360" w:lineRule="auto"/>
              <w:rPr>
                <w:bCs/>
                <w:snapToGrid w:val="0"/>
                <w:kern w:val="0"/>
                <w:szCs w:val="21"/>
              </w:rPr>
            </w:pPr>
            <w:r>
              <w:rPr>
                <w:rFonts w:hint="eastAsia"/>
                <w:bCs/>
                <w:snapToGrid w:val="0"/>
                <w:kern w:val="0"/>
                <w:szCs w:val="21"/>
              </w:rPr>
              <w:t>☑本工程采用商品砼。</w:t>
            </w:r>
          </w:p>
          <w:p w14:paraId="60D88FA2">
            <w:pPr>
              <w:snapToGrid w:val="0"/>
              <w:spacing w:line="360" w:lineRule="auto"/>
              <w:rPr>
                <w:szCs w:val="21"/>
              </w:rPr>
            </w:pPr>
            <w:r>
              <w:rPr>
                <w:rFonts w:hint="eastAsia"/>
                <w:bCs/>
                <w:snapToGrid w:val="0"/>
                <w:kern w:val="0"/>
                <w:szCs w:val="21"/>
              </w:rPr>
              <w:t>☑本项目采用预拌砂浆。</w:t>
            </w:r>
          </w:p>
        </w:tc>
      </w:tr>
      <w:tr w14:paraId="05094084">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1738BC64">
            <w:pPr>
              <w:spacing w:line="360" w:lineRule="auto"/>
              <w:jc w:val="center"/>
              <w:rPr>
                <w:szCs w:val="21"/>
              </w:rPr>
            </w:pPr>
            <w:r>
              <w:rPr>
                <w:rFonts w:hint="eastAsia"/>
                <w:szCs w:val="21"/>
              </w:rPr>
              <w:t>9.4</w:t>
            </w:r>
          </w:p>
        </w:tc>
        <w:tc>
          <w:tcPr>
            <w:tcW w:w="1726" w:type="dxa"/>
            <w:tcBorders>
              <w:top w:val="single" w:color="auto" w:sz="4" w:space="0"/>
              <w:left w:val="single" w:color="auto" w:sz="4" w:space="0"/>
              <w:bottom w:val="single" w:color="auto" w:sz="4" w:space="0"/>
              <w:right w:val="single" w:color="auto" w:sz="4" w:space="0"/>
            </w:tcBorders>
            <w:vAlign w:val="center"/>
          </w:tcPr>
          <w:p w14:paraId="769FF5CE">
            <w:pPr>
              <w:spacing w:line="360" w:lineRule="auto"/>
              <w:jc w:val="center"/>
              <w:rPr>
                <w:szCs w:val="21"/>
              </w:rPr>
            </w:pPr>
            <w:r>
              <w:rPr>
                <w:rFonts w:hint="eastAsia"/>
                <w:szCs w:val="21"/>
              </w:rPr>
              <w:t>工程计价方式</w:t>
            </w:r>
          </w:p>
        </w:tc>
        <w:tc>
          <w:tcPr>
            <w:tcW w:w="6072" w:type="dxa"/>
            <w:tcBorders>
              <w:top w:val="single" w:color="auto" w:sz="4" w:space="0"/>
              <w:left w:val="single" w:color="auto" w:sz="4" w:space="0"/>
              <w:bottom w:val="single" w:color="auto" w:sz="4" w:space="0"/>
              <w:right w:val="single" w:color="auto" w:sz="4" w:space="0"/>
            </w:tcBorders>
            <w:vAlign w:val="center"/>
          </w:tcPr>
          <w:p w14:paraId="71A5E9DA">
            <w:pPr>
              <w:spacing w:line="360" w:lineRule="auto"/>
              <w:rPr>
                <w:color w:val="0070C0"/>
                <w:szCs w:val="21"/>
              </w:rPr>
            </w:pPr>
            <w:r>
              <w:rPr>
                <w:szCs w:val="21"/>
              </w:rPr>
              <w:t>工程量清单计价</w:t>
            </w:r>
            <w:r>
              <w:rPr>
                <w:rFonts w:hint="eastAsia"/>
                <w:szCs w:val="21"/>
              </w:rPr>
              <w:t>，具体详见招标文件第五章。</w:t>
            </w:r>
            <w:r>
              <w:rPr>
                <w:rFonts w:hint="eastAsia" w:ascii="宋体" w:hAnsi="宋体" w:cs="宋体"/>
                <w:sz w:val="22"/>
              </w:rPr>
              <w:t>施工单位需自行勘察现场，综合报价，除设计变更、经济签证以及招标文件约定可调价格的按实调整外的成本、利润、管理费、税金、措施费等一切可能影响工程造价的因素及其经济风险，投标人应作出正确评估并体现在报价中，一旦中标，其合同总价不作调整。</w:t>
            </w:r>
          </w:p>
        </w:tc>
      </w:tr>
      <w:tr w14:paraId="5221F1F2">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4EFCC638">
            <w:pPr>
              <w:spacing w:line="360" w:lineRule="auto"/>
              <w:jc w:val="center"/>
              <w:rPr>
                <w:szCs w:val="21"/>
              </w:rPr>
            </w:pPr>
            <w:r>
              <w:rPr>
                <w:rFonts w:hint="eastAsia"/>
                <w:szCs w:val="21"/>
              </w:rPr>
              <w:t>9.5</w:t>
            </w:r>
          </w:p>
        </w:tc>
        <w:tc>
          <w:tcPr>
            <w:tcW w:w="1726" w:type="dxa"/>
            <w:tcBorders>
              <w:top w:val="single" w:color="auto" w:sz="4" w:space="0"/>
              <w:left w:val="single" w:color="auto" w:sz="4" w:space="0"/>
              <w:bottom w:val="single" w:color="auto" w:sz="4" w:space="0"/>
              <w:right w:val="single" w:color="auto" w:sz="4" w:space="0"/>
            </w:tcBorders>
            <w:vAlign w:val="center"/>
          </w:tcPr>
          <w:p w14:paraId="524D2A02">
            <w:pPr>
              <w:snapToGrid w:val="0"/>
              <w:spacing w:line="360" w:lineRule="auto"/>
              <w:jc w:val="center"/>
              <w:rPr>
                <w:color w:val="000000"/>
              </w:rPr>
            </w:pPr>
            <w:r>
              <w:rPr>
                <w:rFonts w:hint="eastAsia"/>
                <w:szCs w:val="21"/>
              </w:rPr>
              <w:t>增值税税金相关要求</w:t>
            </w:r>
          </w:p>
        </w:tc>
        <w:tc>
          <w:tcPr>
            <w:tcW w:w="6072" w:type="dxa"/>
            <w:tcBorders>
              <w:top w:val="single" w:color="auto" w:sz="4" w:space="0"/>
              <w:left w:val="single" w:color="auto" w:sz="4" w:space="0"/>
              <w:bottom w:val="single" w:color="auto" w:sz="4" w:space="0"/>
              <w:right w:val="single" w:color="auto" w:sz="4" w:space="0"/>
            </w:tcBorders>
            <w:vAlign w:val="center"/>
          </w:tcPr>
          <w:p w14:paraId="75517C7E">
            <w:pPr>
              <w:snapToGrid w:val="0"/>
              <w:spacing w:line="360" w:lineRule="auto"/>
              <w:rPr>
                <w:bCs/>
                <w:snapToGrid w:val="0"/>
                <w:color w:val="0000FF"/>
                <w:kern w:val="0"/>
                <w:szCs w:val="21"/>
              </w:rPr>
            </w:pPr>
            <w:r>
              <w:rPr>
                <w:rFonts w:hint="eastAsia"/>
                <w:bCs/>
                <w:snapToGrid w:val="0"/>
                <w:kern w:val="0"/>
                <w:szCs w:val="21"/>
              </w:rPr>
              <w:t>发票类型：增值税专用发票</w:t>
            </w:r>
            <w:r>
              <w:rPr>
                <w:rFonts w:hint="eastAsia"/>
                <w:szCs w:val="21"/>
              </w:rPr>
              <w:t>（</w:t>
            </w:r>
            <w:r>
              <w:rPr>
                <w:rFonts w:hint="eastAsia"/>
                <w:b/>
                <w:bCs/>
                <w:color w:val="0000FF"/>
                <w:szCs w:val="21"/>
                <w:highlight w:val="yellow"/>
                <w:u w:val="single"/>
              </w:rPr>
              <w:t>税率：9%，</w:t>
            </w:r>
            <w:r>
              <w:rPr>
                <w:rFonts w:hint="eastAsia"/>
                <w:szCs w:val="21"/>
              </w:rPr>
              <w:t>如有调整</w:t>
            </w:r>
            <w:r>
              <w:rPr>
                <w:rFonts w:hint="eastAsia"/>
                <w:bCs/>
                <w:snapToGrid w:val="0"/>
                <w:kern w:val="0"/>
                <w:szCs w:val="21"/>
              </w:rPr>
              <w:t>按最新有关规定执行，不含税金额保持不变</w:t>
            </w:r>
            <w:r>
              <w:rPr>
                <w:rFonts w:hint="eastAsia"/>
                <w:szCs w:val="21"/>
              </w:rPr>
              <w:t>）</w:t>
            </w:r>
          </w:p>
        </w:tc>
      </w:tr>
      <w:tr w14:paraId="296190E4">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7B4BBAA2">
            <w:pPr>
              <w:spacing w:line="360" w:lineRule="auto"/>
              <w:jc w:val="center"/>
              <w:rPr>
                <w:szCs w:val="21"/>
              </w:rPr>
            </w:pPr>
            <w:r>
              <w:rPr>
                <w:rFonts w:hint="eastAsia"/>
                <w:szCs w:val="21"/>
              </w:rPr>
              <w:t>9.6</w:t>
            </w:r>
          </w:p>
        </w:tc>
        <w:tc>
          <w:tcPr>
            <w:tcW w:w="1726" w:type="dxa"/>
            <w:tcBorders>
              <w:top w:val="single" w:color="auto" w:sz="4" w:space="0"/>
              <w:left w:val="single" w:color="auto" w:sz="4" w:space="0"/>
              <w:bottom w:val="single" w:color="auto" w:sz="4" w:space="0"/>
              <w:right w:val="single" w:color="auto" w:sz="4" w:space="0"/>
            </w:tcBorders>
            <w:vAlign w:val="center"/>
          </w:tcPr>
          <w:p w14:paraId="2343E45F">
            <w:pPr>
              <w:snapToGrid w:val="0"/>
              <w:spacing w:line="360" w:lineRule="auto"/>
              <w:jc w:val="center"/>
              <w:rPr>
                <w:bCs/>
                <w:snapToGrid w:val="0"/>
                <w:kern w:val="0"/>
                <w:szCs w:val="21"/>
              </w:rPr>
            </w:pPr>
            <w:r>
              <w:rPr>
                <w:rFonts w:hint="eastAsia"/>
                <w:bCs/>
                <w:snapToGrid w:val="0"/>
                <w:kern w:val="0"/>
                <w:szCs w:val="21"/>
              </w:rPr>
              <w:t>投标人报价文件编制要求</w:t>
            </w:r>
          </w:p>
        </w:tc>
        <w:tc>
          <w:tcPr>
            <w:tcW w:w="6072" w:type="dxa"/>
            <w:tcBorders>
              <w:top w:val="single" w:color="auto" w:sz="4" w:space="0"/>
              <w:left w:val="single" w:color="auto" w:sz="4" w:space="0"/>
              <w:bottom w:val="single" w:color="auto" w:sz="4" w:space="0"/>
              <w:right w:val="single" w:color="auto" w:sz="4" w:space="0"/>
            </w:tcBorders>
            <w:vAlign w:val="center"/>
          </w:tcPr>
          <w:p w14:paraId="7E9CCC60">
            <w:pPr>
              <w:widowControl/>
              <w:snapToGrid w:val="0"/>
              <w:spacing w:line="360" w:lineRule="auto"/>
              <w:jc w:val="left"/>
              <w:rPr>
                <w:bCs/>
                <w:snapToGrid w:val="0"/>
                <w:kern w:val="0"/>
                <w:szCs w:val="21"/>
              </w:rPr>
            </w:pPr>
            <w:r>
              <w:rPr>
                <w:rFonts w:hint="eastAsia"/>
                <w:bCs/>
                <w:snapToGrid w:val="0"/>
                <w:kern w:val="0"/>
                <w:szCs w:val="21"/>
              </w:rPr>
              <w:t>（1）本工程工程量清单和最高投标限价（招标控制价）采用2018版安徽省建设工程计价依据编制，故投标人报价文件的编制和清单组价亦应符合</w:t>
            </w:r>
            <w:r>
              <w:rPr>
                <w:rFonts w:hint="eastAsia"/>
                <w:szCs w:val="24"/>
              </w:rPr>
              <w:t>2018版安徽省建设工程工程量清单计价办法</w:t>
            </w:r>
            <w:r>
              <w:rPr>
                <w:bCs/>
                <w:snapToGrid w:val="0"/>
                <w:kern w:val="0"/>
                <w:szCs w:val="21"/>
              </w:rPr>
              <w:t>及其配套</w:t>
            </w:r>
            <w:r>
              <w:rPr>
                <w:rFonts w:hint="eastAsia"/>
                <w:bCs/>
                <w:snapToGrid w:val="0"/>
                <w:kern w:val="0"/>
                <w:szCs w:val="21"/>
              </w:rPr>
              <w:t>文件的相关规定。据测算，该计价依据在人工含量和工程组价上较2005版安徽省建设工程计价依据小，在使用新版计价依据后，各投标人应充分考虑不同计价依据的差别风险，自行考虑建设成本，理性报价。</w:t>
            </w:r>
          </w:p>
          <w:p w14:paraId="60598419">
            <w:pPr>
              <w:snapToGrid w:val="0"/>
              <w:spacing w:line="360" w:lineRule="auto"/>
              <w:rPr>
                <w:szCs w:val="21"/>
              </w:rPr>
            </w:pPr>
            <w:r>
              <w:rPr>
                <w:rFonts w:hint="eastAsia"/>
                <w:szCs w:val="21"/>
              </w:rPr>
              <w:t>（2）本项目工程量清单、最高投标限价（招标控制价）发出后，投标人应对其数据进行复核，如认为数据有误且达到招标人应予修正的程度，可按照本招标文件规定的程序及时限要求提出。</w:t>
            </w:r>
          </w:p>
          <w:p w14:paraId="652D8B6C">
            <w:pPr>
              <w:snapToGrid w:val="0"/>
              <w:spacing w:line="360" w:lineRule="auto"/>
              <w:rPr>
                <w:szCs w:val="21"/>
              </w:rPr>
            </w:pPr>
            <w:r>
              <w:rPr>
                <w:szCs w:val="21"/>
              </w:rPr>
              <w:t>（</w:t>
            </w:r>
            <w:r>
              <w:rPr>
                <w:rFonts w:hint="eastAsia"/>
                <w:szCs w:val="21"/>
              </w:rPr>
              <w:t>3</w:t>
            </w:r>
            <w:r>
              <w:rPr>
                <w:szCs w:val="21"/>
              </w:rPr>
              <w:t>）</w:t>
            </w:r>
            <w:r>
              <w:rPr>
                <w:rFonts w:hint="eastAsia"/>
                <w:szCs w:val="21"/>
              </w:rPr>
              <w:t>工程量清单报价书编制人应为投标人或工程造价咨询单位具有造价执业资格的人员。鉴于现阶段为造价员取消过渡阶段，工程量清单报价书编制人可为造价员，评审过程中不对造价员执业专用章的时间有效性或电子执业章的时间有效性进行评审。</w:t>
            </w:r>
          </w:p>
          <w:p w14:paraId="1F4A8DFF">
            <w:pPr>
              <w:snapToGrid w:val="0"/>
              <w:spacing w:line="360" w:lineRule="auto"/>
              <w:rPr>
                <w:szCs w:val="21"/>
              </w:rPr>
            </w:pPr>
            <w:r>
              <w:rPr>
                <w:rFonts w:hint="eastAsia"/>
                <w:szCs w:val="21"/>
              </w:rPr>
              <w:t>（4）本投标人应依据招标人提供的招标图纸、招标文件、澄清、补充文件、修改纪要中提出的工程技术、质量、工期、承包范围、工程量清单、工器具及设备清单等要求，参照有关定额、费率标准及省、市现行有关规定，并根据市场价格及投标人实际情况编制工程投标报价，投标报价不得低于成本价。</w:t>
            </w:r>
          </w:p>
          <w:p w14:paraId="0A36285C">
            <w:pPr>
              <w:snapToGrid w:val="0"/>
              <w:spacing w:line="360" w:lineRule="auto"/>
              <w:rPr>
                <w:szCs w:val="21"/>
              </w:rPr>
            </w:pPr>
            <w:r>
              <w:rPr>
                <w:rFonts w:hint="eastAsia"/>
                <w:szCs w:val="21"/>
              </w:rPr>
              <w:t>（5）除非合同中另有规定，投标人在工程量清单报价书中所报的综合单价和合价、以及投标报价汇总表中的投标报价均包括完成招标文件规定的全部工程内容及为达到质量和工期目标、安全文明、环境保护等要求的直接费、间接费、利润、税金、风险费等所有费用。为满足工程建设标准和技术规范要求所发生的费用应包括在投标报价中。投标报价为投标人在投标文件中提出的各项支付金额的总和。</w:t>
            </w:r>
          </w:p>
          <w:p w14:paraId="5AB71827">
            <w:pPr>
              <w:snapToGrid w:val="0"/>
              <w:spacing w:line="360" w:lineRule="auto"/>
              <w:rPr>
                <w:szCs w:val="21"/>
              </w:rPr>
            </w:pPr>
            <w:r>
              <w:rPr>
                <w:rFonts w:hint="eastAsia"/>
                <w:szCs w:val="21"/>
              </w:rPr>
              <w:t>（6）除非招标人对招标文件予以修改，投标人应按招标人提供的工程量清单中列出的工程项目和工程量填报单价和合价。投标人不得任意修改清单项目、工程量、计量单位、项目特征及工作内容的表述、项目排列顺序等，否则其投标报价不予接受。每一项目只允许有一个报价，任何有选择的报价将不予接受。投标人未填单价或合价的工程项目，视为该项费用已包括在其他有价款的单价或合价以及投标总价内，投标人必须按合同要求完成工程量清单中未填单价或合价的工程项目，招标人将不予结算及支付。</w:t>
            </w:r>
          </w:p>
          <w:p w14:paraId="3D267BFE">
            <w:pPr>
              <w:snapToGrid w:val="0"/>
              <w:spacing w:line="360" w:lineRule="auto"/>
              <w:rPr>
                <w:szCs w:val="21"/>
              </w:rPr>
            </w:pPr>
            <w:r>
              <w:rPr>
                <w:rFonts w:hint="eastAsia"/>
                <w:szCs w:val="21"/>
              </w:rPr>
              <w:t>（7）除非合同中另有规定，投标人在报价中所报的单价和合价，以及投标报价汇总表中的价格均包括完成该工程项目（除设计变更、经济签证以及招标文件约定可调价格的按实调整外）的成本、利润、管理费、税金、措施费等一切可能影响工程造价的因素及其经济风险，投标人应作出正确评估并体现在报价中，一旦中标，其综合单价不作调整。</w:t>
            </w:r>
          </w:p>
          <w:p w14:paraId="086F815D">
            <w:pPr>
              <w:snapToGrid w:val="0"/>
              <w:spacing w:line="360" w:lineRule="auto"/>
              <w:rPr>
                <w:szCs w:val="21"/>
              </w:rPr>
            </w:pPr>
            <w:r>
              <w:rPr>
                <w:rFonts w:hint="eastAsia"/>
                <w:szCs w:val="21"/>
              </w:rPr>
              <w:t>（8）投标人应参照招标人发出的本设计图纸等资料，结合踏勘现场以及理解、编制的施工组织和技术方案和考虑的风险自行对措施费项目进行报价。投标人所报的措施费为完成该项目施工及管理服务所发生的一切涉及的措施费用，措施费中须包括但不限于工程量清单中所描述的各项措施费用项目和完成该工程所发生的除该文件中所描述外另包括但不限于：大型机械设备进出场及安拆费、垂直运输费、水平运输费、材料二次倒运费、抢工费、夜间施工费、施工降排水费、冬雨季施工增加费、地上地下设施建筑物的临时保护设施费、渣土费、扬尘治理、地下室照明及其他必要的安全防护设施费等。措施费为包干价，不因工程量的增减、工程变更、施工组织设计和技术方案等任何因素的变化而调整。</w:t>
            </w:r>
          </w:p>
          <w:p w14:paraId="38C28834">
            <w:pPr>
              <w:snapToGrid w:val="0"/>
              <w:spacing w:line="360" w:lineRule="auto"/>
              <w:rPr>
                <w:szCs w:val="21"/>
              </w:rPr>
            </w:pPr>
            <w:r>
              <w:rPr>
                <w:rFonts w:hint="eastAsia"/>
                <w:szCs w:val="21"/>
              </w:rPr>
              <w:t>（9）材料、机械设备价格市场风险：除甲供材、暂定价以及约定可调整的材料和设备以外，由投标人自行采购的材料，中标综合单价为包死价，投标单位在确定投标报价时应充分考虑材料价格涨跌等市场风险因素，除招标文件、合同另有约定外，这部分材料价格今后不作任何调整。</w:t>
            </w:r>
          </w:p>
          <w:p w14:paraId="19F00E4E">
            <w:pPr>
              <w:snapToGrid w:val="0"/>
              <w:spacing w:line="360" w:lineRule="auto"/>
              <w:rPr>
                <w:bCs/>
                <w:snapToGrid w:val="0"/>
                <w:kern w:val="0"/>
                <w:szCs w:val="21"/>
              </w:rPr>
            </w:pPr>
            <w:r>
              <w:rPr>
                <w:rFonts w:hint="eastAsia"/>
                <w:szCs w:val="21"/>
              </w:rPr>
              <w:t>（10）暂列金额（预留金）、暂定价、暂估价：根据最高投标限价中金额报送，不得变更。</w:t>
            </w:r>
          </w:p>
        </w:tc>
      </w:tr>
      <w:tr w14:paraId="07581D22">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1F004A68">
            <w:pPr>
              <w:spacing w:line="360" w:lineRule="auto"/>
              <w:jc w:val="center"/>
              <w:rPr>
                <w:szCs w:val="21"/>
              </w:rPr>
            </w:pPr>
            <w:r>
              <w:rPr>
                <w:rFonts w:hint="eastAsia"/>
                <w:szCs w:val="21"/>
              </w:rPr>
              <w:t>9.7</w:t>
            </w:r>
          </w:p>
        </w:tc>
        <w:tc>
          <w:tcPr>
            <w:tcW w:w="1726" w:type="dxa"/>
            <w:tcBorders>
              <w:top w:val="single" w:color="auto" w:sz="4" w:space="0"/>
              <w:left w:val="single" w:color="auto" w:sz="4" w:space="0"/>
              <w:bottom w:val="single" w:color="auto" w:sz="4" w:space="0"/>
              <w:right w:val="single" w:color="auto" w:sz="4" w:space="0"/>
            </w:tcBorders>
            <w:vAlign w:val="center"/>
          </w:tcPr>
          <w:p w14:paraId="69332782">
            <w:pPr>
              <w:snapToGrid w:val="0"/>
              <w:spacing w:line="360" w:lineRule="auto"/>
              <w:jc w:val="center"/>
              <w:rPr>
                <w:bCs/>
                <w:snapToGrid w:val="0"/>
                <w:kern w:val="0"/>
                <w:szCs w:val="21"/>
              </w:rPr>
            </w:pPr>
            <w:r>
              <w:rPr>
                <w:rFonts w:hint="eastAsia"/>
                <w:bCs/>
                <w:snapToGrid w:val="0"/>
                <w:kern w:val="0"/>
                <w:szCs w:val="21"/>
              </w:rPr>
              <w:t>相关政策要求</w:t>
            </w:r>
          </w:p>
        </w:tc>
        <w:tc>
          <w:tcPr>
            <w:tcW w:w="6072" w:type="dxa"/>
            <w:tcBorders>
              <w:top w:val="single" w:color="auto" w:sz="4" w:space="0"/>
              <w:left w:val="single" w:color="auto" w:sz="4" w:space="0"/>
              <w:bottom w:val="single" w:color="auto" w:sz="4" w:space="0"/>
              <w:right w:val="single" w:color="auto" w:sz="4" w:space="0"/>
            </w:tcBorders>
            <w:vAlign w:val="center"/>
          </w:tcPr>
          <w:p w14:paraId="6A7F9B1D">
            <w:pPr>
              <w:widowControl/>
              <w:snapToGrid w:val="0"/>
              <w:spacing w:line="360" w:lineRule="auto"/>
              <w:jc w:val="left"/>
              <w:rPr>
                <w:szCs w:val="21"/>
              </w:rPr>
            </w:pPr>
            <w:r>
              <w:rPr>
                <w:rFonts w:hint="eastAsia"/>
                <w:szCs w:val="21"/>
              </w:rPr>
              <w:t>（1）承包人在工程实施过程中的用工行为，必须严格按照《国务院办公厅关于全面治理拖欠农民工工资问题的意见》（国办发〔2016〕1号）、《安徽省人民政府办公厅关于全面治理拖欠农民工工资问题的实施意见》（皖政办〔2016〕22号）以及《合肥市人民政府办公厅关于全面治理拖欠农民工工资问题的实施意见》（合政办〔2017〕37号）等文件精神的有关规定，依法与招用的农民工签订劳动合同，并按规定及时足额支付工资。承包人必须在合肥市市域范围内银行设立农民工工资专用账户，专户资金使用、监管严格按照《合肥市建设领域农民工工资专用账户管理意见》（合政办[2013]55号文件）执行。本工程最高投标限价（招标控制价）已按《关于发布建设工程人工费计算最低标准的通知》（合造价【2013】16号及《合肥建设工程市场价格信息》（合肥市城乡建设局，http：//cxisi.hefei.gov.cn/f/index）规定包含建设工程工资性工程款”，建设工程工资性工程款作为不可竞争费，投标人应在投标报价时综合考虑，无需在“不可竞争项目清单与计价表”单独列出，中标后按上述文件规定办理相关专户设立、工资支付等事宜。【由招标人根据工程项目投资规模大小等实际情况决定是否需要设立农民工工资专用账户】</w:t>
            </w:r>
          </w:p>
          <w:p w14:paraId="3C6E8F29">
            <w:pPr>
              <w:widowControl/>
              <w:snapToGrid w:val="0"/>
              <w:spacing w:line="360" w:lineRule="auto"/>
              <w:jc w:val="left"/>
              <w:rPr>
                <w:szCs w:val="21"/>
              </w:rPr>
            </w:pPr>
            <w:r>
              <w:rPr>
                <w:rFonts w:hint="eastAsia"/>
                <w:szCs w:val="21"/>
              </w:rPr>
              <w:t>（2）承包人必须严格按照《合肥市建设工程扬尘污染防治暂行规定》（合建〔2015〕33号）文件规定落实扬尘污染防治措施。</w:t>
            </w:r>
          </w:p>
          <w:p w14:paraId="7876F9BF">
            <w:pPr>
              <w:widowControl/>
              <w:snapToGrid w:val="0"/>
              <w:spacing w:line="360" w:lineRule="auto"/>
              <w:jc w:val="left"/>
              <w:rPr>
                <w:bCs/>
                <w:snapToGrid w:val="0"/>
                <w:kern w:val="0"/>
                <w:szCs w:val="21"/>
              </w:rPr>
            </w:pPr>
            <w:r>
              <w:rPr>
                <w:rFonts w:hint="eastAsia"/>
                <w:szCs w:val="21"/>
              </w:rPr>
              <w:t>（3）注册地不在合肥市行政区域范围（含四县一市）的中标人，应按照《纳税人跨县（市、区）提供建筑服务增值税征收管理暂行办法》（国家税务总局公告2016年第17号）规定，在建筑服务发生地及时足额预缴增值税。</w:t>
            </w:r>
          </w:p>
        </w:tc>
      </w:tr>
      <w:tr w14:paraId="73BC2143">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5A6267DC">
            <w:pPr>
              <w:spacing w:line="360" w:lineRule="auto"/>
              <w:jc w:val="center"/>
              <w:rPr>
                <w:szCs w:val="21"/>
              </w:rPr>
            </w:pPr>
            <w:r>
              <w:rPr>
                <w:rFonts w:hint="eastAsia"/>
                <w:szCs w:val="21"/>
              </w:rPr>
              <w:t>9.8</w:t>
            </w:r>
          </w:p>
        </w:tc>
        <w:tc>
          <w:tcPr>
            <w:tcW w:w="1726" w:type="dxa"/>
            <w:tcBorders>
              <w:top w:val="single" w:color="auto" w:sz="4" w:space="0"/>
              <w:left w:val="single" w:color="auto" w:sz="4" w:space="0"/>
              <w:bottom w:val="single" w:color="auto" w:sz="4" w:space="0"/>
              <w:right w:val="single" w:color="auto" w:sz="4" w:space="0"/>
            </w:tcBorders>
            <w:vAlign w:val="center"/>
          </w:tcPr>
          <w:p w14:paraId="0C3739D8">
            <w:pPr>
              <w:spacing w:line="360" w:lineRule="auto"/>
              <w:jc w:val="center"/>
              <w:rPr>
                <w:szCs w:val="21"/>
              </w:rPr>
            </w:pPr>
            <w:r>
              <w:rPr>
                <w:rFonts w:hint="eastAsia"/>
                <w:szCs w:val="21"/>
              </w:rPr>
              <w:t>付款方式</w:t>
            </w:r>
          </w:p>
        </w:tc>
        <w:tc>
          <w:tcPr>
            <w:tcW w:w="6072" w:type="dxa"/>
            <w:tcBorders>
              <w:top w:val="single" w:color="auto" w:sz="4" w:space="0"/>
              <w:left w:val="single" w:color="auto" w:sz="4" w:space="0"/>
              <w:bottom w:val="single" w:color="auto" w:sz="4" w:space="0"/>
              <w:right w:val="single" w:color="auto" w:sz="4" w:space="0"/>
            </w:tcBorders>
            <w:vAlign w:val="center"/>
          </w:tcPr>
          <w:p w14:paraId="3DB2BB8E">
            <w:pPr>
              <w:spacing w:line="360" w:lineRule="auto"/>
              <w:rPr>
                <w:szCs w:val="21"/>
                <w:highlight w:val="yellow"/>
              </w:rPr>
            </w:pPr>
            <w:bookmarkStart w:id="61" w:name="PO_EditSection_527"/>
            <w:r>
              <w:rPr>
                <w:rFonts w:hint="eastAsia"/>
                <w:szCs w:val="21"/>
                <w:highlight w:val="yellow"/>
              </w:rPr>
              <w:t>（1）本工程无预付款；每月根据工程进度支付已完工程量工程款的 70%进度款；总包工程完工后付至已完工程量的 80%，总包工程竣工验收合格后付至已完工程量的 90%；审计结算后开具全额增值税专用发票，付至结算价的 97%，余款 3%作为质保金，待质保期满且承包人完全履行了保修义务质量回访合格后付至审定价款的 100%（无息）。质保期为工程竣工验收合格之日起计两年。</w:t>
            </w:r>
          </w:p>
          <w:bookmarkEnd w:id="61"/>
          <w:p w14:paraId="0CD2173F">
            <w:pPr>
              <w:spacing w:line="288" w:lineRule="auto"/>
              <w:ind w:firstLine="210" w:firstLineChars="100"/>
              <w:rPr>
                <w:szCs w:val="21"/>
              </w:rPr>
            </w:pPr>
            <w:r>
              <w:rPr>
                <w:rFonts w:hint="eastAsia"/>
                <w:szCs w:val="21"/>
              </w:rPr>
              <w:t>（2）如承包人未按合同约定向发包人支付违约金，发包人可从当期应付工程进度款中直接扣除同等金额。</w:t>
            </w:r>
          </w:p>
          <w:p w14:paraId="72D28B80">
            <w:pPr>
              <w:spacing w:line="288" w:lineRule="auto"/>
              <w:ind w:firstLine="210" w:firstLineChars="100"/>
              <w:rPr>
                <w:szCs w:val="21"/>
              </w:rPr>
            </w:pPr>
            <w:r>
              <w:rPr>
                <w:rFonts w:hint="eastAsia"/>
                <w:szCs w:val="21"/>
              </w:rPr>
              <w:t>（3）每次付款前，承包人需按照发包人要求每月提供足额的增值税专用发票，税率按合同约定执行。如有国家相关政策变动以最新规定执行，结算时不含税金额保持不变，税额相应调整。</w:t>
            </w:r>
          </w:p>
          <w:p w14:paraId="123E8F82">
            <w:pPr>
              <w:spacing w:line="288" w:lineRule="auto"/>
              <w:ind w:firstLine="210" w:firstLineChars="100"/>
              <w:rPr>
                <w:szCs w:val="21"/>
              </w:rPr>
            </w:pPr>
            <w:r>
              <w:rPr>
                <w:rFonts w:hint="eastAsia"/>
                <w:szCs w:val="21"/>
              </w:rPr>
              <w:t>（4）每笔款项支付前，承包人须事先报送书面的款项申请，并提供当期已完成工程量计量文件及其他满足付款条件的证明材料，经发包人审核通过后支付。</w:t>
            </w:r>
          </w:p>
          <w:p w14:paraId="0514382F">
            <w:pPr>
              <w:spacing w:line="360" w:lineRule="auto"/>
              <w:ind w:firstLine="420" w:firstLineChars="200"/>
              <w:rPr>
                <w:color w:val="3333FF"/>
                <w:szCs w:val="21"/>
              </w:rPr>
            </w:pPr>
            <w:r>
              <w:rPr>
                <w:rFonts w:hint="eastAsia"/>
                <w:szCs w:val="21"/>
              </w:rPr>
              <w:t>投标人提交的投标文件中如有关于付款条件的表述与招标文件规定不符的，作否决投标处理。</w:t>
            </w:r>
          </w:p>
        </w:tc>
      </w:tr>
      <w:tr w14:paraId="6B5A0857">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1354FE67">
            <w:pPr>
              <w:spacing w:line="360" w:lineRule="auto"/>
              <w:jc w:val="center"/>
              <w:rPr>
                <w:szCs w:val="21"/>
              </w:rPr>
            </w:pPr>
            <w:r>
              <w:rPr>
                <w:rFonts w:hint="eastAsia"/>
                <w:szCs w:val="21"/>
              </w:rPr>
              <w:t>9.9</w:t>
            </w:r>
          </w:p>
        </w:tc>
        <w:tc>
          <w:tcPr>
            <w:tcW w:w="1726" w:type="dxa"/>
            <w:tcBorders>
              <w:top w:val="single" w:color="auto" w:sz="4" w:space="0"/>
              <w:left w:val="single" w:color="auto" w:sz="4" w:space="0"/>
              <w:bottom w:val="single" w:color="auto" w:sz="4" w:space="0"/>
              <w:right w:val="single" w:color="auto" w:sz="4" w:space="0"/>
            </w:tcBorders>
            <w:vAlign w:val="center"/>
          </w:tcPr>
          <w:p w14:paraId="3EB08105">
            <w:pPr>
              <w:spacing w:line="360" w:lineRule="auto"/>
              <w:jc w:val="center"/>
              <w:rPr>
                <w:szCs w:val="21"/>
              </w:rPr>
            </w:pPr>
            <w:r>
              <w:rPr>
                <w:rFonts w:hint="eastAsia"/>
                <w:szCs w:val="21"/>
              </w:rPr>
              <w:t>解释权</w:t>
            </w:r>
          </w:p>
        </w:tc>
        <w:tc>
          <w:tcPr>
            <w:tcW w:w="6072" w:type="dxa"/>
            <w:tcBorders>
              <w:top w:val="single" w:color="auto" w:sz="4" w:space="0"/>
              <w:left w:val="single" w:color="auto" w:sz="4" w:space="0"/>
              <w:bottom w:val="single" w:color="auto" w:sz="4" w:space="0"/>
              <w:right w:val="single" w:color="auto" w:sz="4" w:space="0"/>
            </w:tcBorders>
            <w:vAlign w:val="center"/>
          </w:tcPr>
          <w:p w14:paraId="14528139">
            <w:pPr>
              <w:snapToGrid w:val="0"/>
              <w:spacing w:line="360" w:lineRule="auto"/>
            </w:pPr>
            <w:r>
              <w:rPr>
                <w:rFonts w:hint="eastAsia"/>
              </w:rPr>
              <w:t>（1）构成本招标文件的各个组成文件应互为解释，互为说明。</w:t>
            </w:r>
          </w:p>
          <w:p w14:paraId="3C342A78">
            <w:pPr>
              <w:snapToGrid w:val="0"/>
              <w:spacing w:line="360" w:lineRule="auto"/>
            </w:pPr>
            <w:r>
              <w:rPr>
                <w:rFonts w:hint="eastAsia"/>
              </w:rPr>
              <w:t>（2）同一组成文件中就同一事项的规定或约定不一致的，以编排顺序在后者为准。</w:t>
            </w:r>
          </w:p>
          <w:p w14:paraId="384E115D">
            <w:pPr>
              <w:snapToGrid w:val="0"/>
              <w:spacing w:line="360" w:lineRule="auto"/>
            </w:pPr>
            <w:r>
              <w:rPr>
                <w:rFonts w:hint="eastAsia"/>
              </w:rPr>
              <w:t>（3）如有不明确或不一致，构成合同文件组成内容的，以合同文件约定内容为准，且以专用合同条款约定的合同文件优先顺序解释。</w:t>
            </w:r>
          </w:p>
          <w:p w14:paraId="25FCF979">
            <w:pPr>
              <w:snapToGrid w:val="0"/>
              <w:spacing w:line="360" w:lineRule="auto"/>
            </w:pPr>
            <w:r>
              <w:rPr>
                <w:rFonts w:hint="eastAsia"/>
              </w:rPr>
              <w:t>（4）除招标文件中有特别规定外，仅适用于招标投标阶段的规定，按招标公告、投标人须知、评标办法、投标文件格式的先后顺序解释。</w:t>
            </w:r>
          </w:p>
          <w:p w14:paraId="74FB64E1">
            <w:pPr>
              <w:spacing w:line="360" w:lineRule="auto"/>
              <w:rPr>
                <w:szCs w:val="21"/>
              </w:rPr>
            </w:pPr>
            <w:r>
              <w:rPr>
                <w:rFonts w:hint="eastAsia"/>
              </w:rPr>
              <w:t>（5）按本款前述规定仍不能形成结论的，由招标人负责解释。</w:t>
            </w:r>
          </w:p>
        </w:tc>
      </w:tr>
      <w:tr w14:paraId="14530513">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77FEF481">
            <w:pPr>
              <w:spacing w:line="360" w:lineRule="auto"/>
              <w:jc w:val="center"/>
              <w:rPr>
                <w:szCs w:val="21"/>
              </w:rPr>
            </w:pPr>
            <w:r>
              <w:rPr>
                <w:rFonts w:hint="eastAsia"/>
                <w:szCs w:val="21"/>
              </w:rPr>
              <w:t>9.10</w:t>
            </w:r>
          </w:p>
        </w:tc>
        <w:tc>
          <w:tcPr>
            <w:tcW w:w="1726" w:type="dxa"/>
            <w:tcBorders>
              <w:top w:val="single" w:color="auto" w:sz="4" w:space="0"/>
              <w:left w:val="single" w:color="auto" w:sz="4" w:space="0"/>
              <w:bottom w:val="single" w:color="auto" w:sz="4" w:space="0"/>
              <w:right w:val="single" w:color="auto" w:sz="4" w:space="0"/>
            </w:tcBorders>
            <w:vAlign w:val="center"/>
          </w:tcPr>
          <w:p w14:paraId="0AF6DF4B">
            <w:pPr>
              <w:spacing w:line="360" w:lineRule="auto"/>
              <w:jc w:val="center"/>
              <w:rPr>
                <w:szCs w:val="21"/>
              </w:rPr>
            </w:pPr>
            <w:r>
              <w:rPr>
                <w:rFonts w:hint="eastAsia"/>
                <w:szCs w:val="21"/>
              </w:rPr>
              <w:t>创优目标</w:t>
            </w:r>
          </w:p>
        </w:tc>
        <w:tc>
          <w:tcPr>
            <w:tcW w:w="6072" w:type="dxa"/>
            <w:tcBorders>
              <w:top w:val="single" w:color="auto" w:sz="4" w:space="0"/>
              <w:left w:val="single" w:color="auto" w:sz="4" w:space="0"/>
              <w:bottom w:val="single" w:color="auto" w:sz="4" w:space="0"/>
              <w:right w:val="single" w:color="auto" w:sz="4" w:space="0"/>
            </w:tcBorders>
            <w:vAlign w:val="center"/>
          </w:tcPr>
          <w:p w14:paraId="3BE0FF69">
            <w:pPr>
              <w:spacing w:line="360" w:lineRule="auto"/>
            </w:pPr>
            <w:r>
              <w:rPr>
                <w:rFonts w:hint="eastAsia"/>
              </w:rPr>
              <w:sym w:font="Wingdings" w:char="00A8"/>
            </w:r>
            <w:r>
              <w:rPr>
                <w:rFonts w:hint="eastAsia"/>
              </w:rPr>
              <w:t>无</w:t>
            </w:r>
          </w:p>
          <w:p w14:paraId="41B33DB4">
            <w:pPr>
              <w:pStyle w:val="10"/>
            </w:pPr>
            <w:r>
              <w:rPr>
                <w:rFonts w:hint="eastAsia" w:ascii="Times New Roman" w:hAnsi="Times New Roman"/>
                <w:color w:val="0000FF"/>
                <w:szCs w:val="21"/>
              </w:rPr>
              <w:sym w:font="Wingdings" w:char="00FE"/>
            </w:r>
            <w:r>
              <w:rPr>
                <w:rFonts w:hint="eastAsia" w:ascii="Times New Roman" w:hAnsi="Times New Roman"/>
                <w:color w:val="0000FF"/>
                <w:szCs w:val="21"/>
              </w:rPr>
              <w:t>有：本项目要求争创“黄山杯”、“省级建筑工程安全文明标准化工地 ”及以上荣誉，中标人需配合招标人办理，做好相关资料档案，因创新创优产生的费用包含在投标报价中，不再另行计取。</w:t>
            </w:r>
          </w:p>
        </w:tc>
      </w:tr>
      <w:tr w14:paraId="7476955E">
        <w:tblPrEx>
          <w:tblCellMar>
            <w:top w:w="0" w:type="dxa"/>
            <w:left w:w="108" w:type="dxa"/>
            <w:bottom w:w="0" w:type="dxa"/>
            <w:right w:w="108" w:type="dxa"/>
          </w:tblCellMar>
        </w:tblPrEx>
        <w:trPr>
          <w:jc w:val="center"/>
        </w:trPr>
        <w:tc>
          <w:tcPr>
            <w:tcW w:w="1241" w:type="dxa"/>
            <w:tcBorders>
              <w:top w:val="single" w:color="auto" w:sz="4" w:space="0"/>
              <w:left w:val="single" w:color="auto" w:sz="4" w:space="0"/>
              <w:bottom w:val="single" w:color="auto" w:sz="4" w:space="0"/>
              <w:right w:val="single" w:color="auto" w:sz="4" w:space="0"/>
            </w:tcBorders>
            <w:vAlign w:val="center"/>
          </w:tcPr>
          <w:p w14:paraId="4FF665D8">
            <w:pPr>
              <w:spacing w:line="360" w:lineRule="auto"/>
              <w:jc w:val="center"/>
              <w:rPr>
                <w:szCs w:val="21"/>
              </w:rPr>
            </w:pPr>
            <w:r>
              <w:rPr>
                <w:rFonts w:hint="eastAsia"/>
                <w:szCs w:val="21"/>
              </w:rPr>
              <w:t>9.11</w:t>
            </w:r>
          </w:p>
        </w:tc>
        <w:tc>
          <w:tcPr>
            <w:tcW w:w="1726" w:type="dxa"/>
            <w:tcBorders>
              <w:top w:val="single" w:color="auto" w:sz="4" w:space="0"/>
              <w:left w:val="single" w:color="auto" w:sz="4" w:space="0"/>
              <w:bottom w:val="single" w:color="auto" w:sz="4" w:space="0"/>
              <w:right w:val="single" w:color="auto" w:sz="4" w:space="0"/>
            </w:tcBorders>
            <w:vAlign w:val="center"/>
          </w:tcPr>
          <w:p w14:paraId="3AADF54C">
            <w:pPr>
              <w:spacing w:line="360" w:lineRule="auto"/>
              <w:jc w:val="center"/>
              <w:rPr>
                <w:szCs w:val="21"/>
              </w:rPr>
            </w:pPr>
            <w:r>
              <w:rPr>
                <w:rFonts w:hint="eastAsia"/>
                <w:color w:val="0000FF"/>
                <w:szCs w:val="21"/>
              </w:rPr>
              <w:t>其他说明</w:t>
            </w:r>
          </w:p>
        </w:tc>
        <w:tc>
          <w:tcPr>
            <w:tcW w:w="6072" w:type="dxa"/>
            <w:tcBorders>
              <w:top w:val="single" w:color="auto" w:sz="4" w:space="0"/>
              <w:left w:val="single" w:color="auto" w:sz="4" w:space="0"/>
              <w:bottom w:val="single" w:color="auto" w:sz="4" w:space="0"/>
              <w:right w:val="single" w:color="auto" w:sz="4" w:space="0"/>
            </w:tcBorders>
            <w:vAlign w:val="center"/>
          </w:tcPr>
          <w:p w14:paraId="3EA838AE">
            <w:pPr>
              <w:snapToGrid w:val="0"/>
              <w:spacing w:line="360" w:lineRule="auto"/>
              <w:rPr>
                <w:szCs w:val="21"/>
              </w:rPr>
            </w:pPr>
            <w:r>
              <w:rPr>
                <w:rFonts w:hint="eastAsia" w:ascii="宋体" w:hAnsi="宋体" w:cs="宋体"/>
                <w:szCs w:val="21"/>
                <w:lang w:bidi="ar"/>
              </w:rPr>
              <w:t>（</w:t>
            </w:r>
            <w:r>
              <w:rPr>
                <w:szCs w:val="21"/>
                <w:lang w:bidi="ar"/>
              </w:rPr>
              <w:t>1</w:t>
            </w:r>
            <w:r>
              <w:rPr>
                <w:rFonts w:hint="eastAsia" w:ascii="宋体" w:hAnsi="宋体" w:cs="宋体"/>
                <w:szCs w:val="21"/>
                <w:lang w:bidi="ar"/>
              </w:rPr>
              <w:t>）投标人应进行充分地现场踏勘，投标人自行考虑施工所需物资材料及设备的进退场施工便道问题，此部分可能发生的费用投标人应在投标报价中综合考虑。</w:t>
            </w:r>
          </w:p>
          <w:p w14:paraId="56933D68">
            <w:pPr>
              <w:snapToGrid w:val="0"/>
              <w:spacing w:line="360" w:lineRule="auto"/>
              <w:rPr>
                <w:szCs w:val="21"/>
              </w:rPr>
            </w:pPr>
            <w:r>
              <w:rPr>
                <w:rFonts w:hint="eastAsia" w:ascii="宋体" w:hAnsi="宋体" w:cs="宋体"/>
                <w:szCs w:val="21"/>
                <w:lang w:bidi="ar"/>
              </w:rPr>
              <w:t>（</w:t>
            </w:r>
            <w:r>
              <w:rPr>
                <w:szCs w:val="21"/>
                <w:lang w:bidi="ar"/>
              </w:rPr>
              <w:t>2</w:t>
            </w:r>
            <w:r>
              <w:rPr>
                <w:rFonts w:hint="eastAsia" w:ascii="宋体" w:hAnsi="宋体" w:cs="宋体"/>
                <w:szCs w:val="21"/>
                <w:lang w:bidi="ar"/>
              </w:rPr>
              <w:t>）在本标段招标范围内，只要图纸或相关答疑及招标文件中已列示或说明的项目、内容（不论工程量清单中是否包含），均需计价，如果系清单漏项或工程量错误的，在招标文件规定的答疑期内投标人没有向招标人提出，视同完全认可本项目的招标范围及工程量清单；清单漏项部分视同中标人优惠或其他报价已包含此部分费用，工程量清单有误的，在规定的时间内</w:t>
            </w:r>
          </w:p>
          <w:p w14:paraId="69A7A295">
            <w:pPr>
              <w:snapToGrid w:val="0"/>
              <w:spacing w:line="360" w:lineRule="auto"/>
              <w:rPr>
                <w:szCs w:val="21"/>
              </w:rPr>
            </w:pPr>
            <w:r>
              <w:rPr>
                <w:rFonts w:hint="eastAsia" w:ascii="宋体" w:hAnsi="宋体" w:cs="宋体"/>
                <w:szCs w:val="21"/>
                <w:lang w:bidi="ar"/>
              </w:rPr>
              <w:t>没有向招标人提出异议的，视同认可清单的工程量；如若分部分项发生设计变更或招标人指令变更（增加或减少），则结算时只对变更部分的工程量进行按实计量，总价相应扣减或增加该变更部分的费用。</w:t>
            </w:r>
          </w:p>
          <w:p w14:paraId="5F152C3B">
            <w:pPr>
              <w:snapToGrid w:val="0"/>
              <w:spacing w:line="360" w:lineRule="auto"/>
              <w:rPr>
                <w:szCs w:val="21"/>
              </w:rPr>
            </w:pPr>
            <w:r>
              <w:rPr>
                <w:rFonts w:hint="eastAsia" w:ascii="宋体" w:hAnsi="宋体" w:cs="宋体"/>
                <w:szCs w:val="21"/>
                <w:lang w:bidi="ar"/>
              </w:rPr>
              <w:t>（</w:t>
            </w:r>
            <w:r>
              <w:rPr>
                <w:szCs w:val="21"/>
                <w:lang w:bidi="ar"/>
              </w:rPr>
              <w:t>3</w:t>
            </w:r>
            <w:r>
              <w:rPr>
                <w:rFonts w:hint="eastAsia" w:ascii="宋体" w:hAnsi="宋体" w:cs="宋体"/>
                <w:szCs w:val="21"/>
                <w:lang w:bidi="ar"/>
              </w:rPr>
              <w:t>）发布的工程量清单项目特征描述与图纸、招标文件或答疑等有冲突的，如果在招标文件规定的时间内中标人没有提出异议，在中标后实际实施时，以招标人的解释为准，此块费用不作调整；中标人的报价文件中项目特征描述不全或综合单价分析中遗漏子项的，均视同优惠。</w:t>
            </w:r>
          </w:p>
          <w:p w14:paraId="4A4EC82C">
            <w:pPr>
              <w:snapToGrid w:val="0"/>
              <w:spacing w:line="360" w:lineRule="auto"/>
              <w:rPr>
                <w:szCs w:val="21"/>
              </w:rPr>
            </w:pPr>
            <w:r>
              <w:rPr>
                <w:rFonts w:hint="eastAsia" w:ascii="宋体" w:hAnsi="宋体" w:cs="宋体"/>
                <w:szCs w:val="21"/>
                <w:lang w:bidi="ar"/>
              </w:rPr>
              <w:t>（</w:t>
            </w:r>
            <w:r>
              <w:rPr>
                <w:szCs w:val="21"/>
                <w:lang w:bidi="ar"/>
              </w:rPr>
              <w:t>4</w:t>
            </w:r>
            <w:r>
              <w:rPr>
                <w:rFonts w:hint="eastAsia" w:ascii="宋体" w:hAnsi="宋体" w:cs="宋体"/>
                <w:szCs w:val="21"/>
                <w:lang w:bidi="ar"/>
              </w:rPr>
              <w:t>）施工所需临时便道、水、电以投标时现场踏勘条件为准，施工便道修筑及临时水电、通讯线路接引工作由承包人自行解决，并实施防护工程与警示标志，必要时发包人提供配合。本条款所发生的一切费用均已含在投标报价中，在投标报价中综合考虑，标后不予签证或调整。若临时供电工程在开工初期无法安装到位或者后期运营维护中出现线路故障等问题，承包人</w:t>
            </w:r>
          </w:p>
          <w:p w14:paraId="4B6219AC">
            <w:pPr>
              <w:snapToGrid w:val="0"/>
              <w:spacing w:line="360" w:lineRule="auto"/>
              <w:rPr>
                <w:szCs w:val="21"/>
              </w:rPr>
            </w:pPr>
            <w:r>
              <w:rPr>
                <w:rFonts w:hint="eastAsia" w:ascii="宋体" w:hAnsi="宋体" w:cs="宋体"/>
                <w:szCs w:val="21"/>
                <w:lang w:bidi="ar"/>
              </w:rPr>
              <w:t>应配备相应备用电源，以保证施工正常进行，由此产生的费用含在投标报价中，不再另行计取支付。</w:t>
            </w:r>
          </w:p>
          <w:p w14:paraId="0D7FC596">
            <w:pPr>
              <w:snapToGrid w:val="0"/>
              <w:spacing w:line="360" w:lineRule="auto"/>
              <w:rPr>
                <w:szCs w:val="21"/>
              </w:rPr>
            </w:pPr>
            <w:r>
              <w:rPr>
                <w:rFonts w:hint="eastAsia" w:ascii="宋体" w:hAnsi="宋体" w:cs="宋体"/>
                <w:szCs w:val="21"/>
                <w:lang w:bidi="ar"/>
              </w:rPr>
              <w:t>（</w:t>
            </w:r>
            <w:r>
              <w:rPr>
                <w:szCs w:val="21"/>
                <w:lang w:bidi="ar"/>
              </w:rPr>
              <w:t>5</w:t>
            </w:r>
            <w:r>
              <w:rPr>
                <w:rFonts w:hint="eastAsia" w:ascii="宋体" w:hAnsi="宋体" w:cs="宋体"/>
                <w:szCs w:val="21"/>
                <w:lang w:bidi="ar"/>
              </w:rPr>
              <w:t>）本工程施工过程中为保证施工质量、安全所采取的保护性措施所产生的费用投标人应考虑在综合报价中，由于投标人未采取必要的保护性措施造成对周边已有设施或其他单位已完成的成品损坏而产生的费用由投标人承担。</w:t>
            </w:r>
          </w:p>
          <w:p w14:paraId="79CBC6C2">
            <w:pPr>
              <w:snapToGrid w:val="0"/>
              <w:spacing w:line="360" w:lineRule="auto"/>
              <w:rPr>
                <w:b/>
                <w:bCs/>
                <w:szCs w:val="21"/>
              </w:rPr>
            </w:pPr>
            <w:r>
              <w:rPr>
                <w:rFonts w:hint="eastAsia" w:ascii="宋体" w:hAnsi="宋体" w:cs="宋体"/>
                <w:b/>
                <w:bCs/>
                <w:szCs w:val="21"/>
                <w:lang w:bidi="ar"/>
              </w:rPr>
              <w:t>（</w:t>
            </w:r>
            <w:r>
              <w:rPr>
                <w:b/>
                <w:bCs/>
                <w:szCs w:val="21"/>
                <w:lang w:bidi="ar"/>
              </w:rPr>
              <w:t>6</w:t>
            </w:r>
            <w:r>
              <w:rPr>
                <w:rFonts w:hint="eastAsia" w:ascii="宋体" w:hAnsi="宋体" w:cs="宋体"/>
                <w:b/>
                <w:bCs/>
                <w:szCs w:val="21"/>
                <w:lang w:bidi="ar"/>
              </w:rPr>
              <w:t>）本项目施工过程中涉及到隐蔽工程量的计算，中标人应做好事中确认计量工作，未经确认计量的一律不予承认。</w:t>
            </w:r>
          </w:p>
          <w:p w14:paraId="1994F452">
            <w:pPr>
              <w:snapToGrid w:val="0"/>
              <w:spacing w:line="360" w:lineRule="auto"/>
              <w:rPr>
                <w:b/>
                <w:bCs/>
                <w:szCs w:val="21"/>
              </w:rPr>
            </w:pPr>
            <w:r>
              <w:rPr>
                <w:rFonts w:hint="eastAsia" w:ascii="宋体" w:hAnsi="宋体" w:cs="宋体"/>
                <w:b/>
                <w:bCs/>
                <w:szCs w:val="21"/>
                <w:lang w:bidi="ar"/>
              </w:rPr>
              <w:t>（</w:t>
            </w:r>
            <w:r>
              <w:rPr>
                <w:b/>
                <w:bCs/>
                <w:szCs w:val="21"/>
                <w:lang w:bidi="ar"/>
              </w:rPr>
              <w:t>7</w:t>
            </w:r>
            <w:r>
              <w:rPr>
                <w:rFonts w:hint="eastAsia" w:ascii="宋体" w:hAnsi="宋体" w:cs="宋体"/>
                <w:b/>
                <w:bCs/>
                <w:szCs w:val="21"/>
                <w:lang w:bidi="ar"/>
              </w:rPr>
              <w:t>）非承包人原因引起的变更计量等，未在法定时间内提出申报，视为放弃。</w:t>
            </w:r>
          </w:p>
          <w:p w14:paraId="026D9A60">
            <w:pPr>
              <w:snapToGrid w:val="0"/>
              <w:spacing w:line="360" w:lineRule="auto"/>
              <w:rPr>
                <w:szCs w:val="21"/>
              </w:rPr>
            </w:pPr>
            <w:r>
              <w:rPr>
                <w:rFonts w:hint="eastAsia" w:ascii="宋体" w:hAnsi="宋体" w:cs="宋体"/>
                <w:szCs w:val="21"/>
                <w:lang w:bidi="ar"/>
              </w:rPr>
              <w:t>（</w:t>
            </w:r>
            <w:r>
              <w:rPr>
                <w:szCs w:val="21"/>
                <w:lang w:bidi="ar"/>
              </w:rPr>
              <w:t>8</w:t>
            </w:r>
            <w:r>
              <w:rPr>
                <w:rFonts w:hint="eastAsia" w:ascii="宋体" w:hAnsi="宋体" w:cs="宋体"/>
                <w:szCs w:val="21"/>
                <w:lang w:bidi="ar"/>
              </w:rPr>
              <w:t>）本项目所下发资料和招标文件相关约定有冲突的，投标人在招标阶段没有提出异议的，最终以招标人解释为准。</w:t>
            </w:r>
          </w:p>
          <w:p w14:paraId="41C80B46">
            <w:pPr>
              <w:snapToGrid w:val="0"/>
              <w:spacing w:line="360" w:lineRule="auto"/>
              <w:rPr>
                <w:szCs w:val="21"/>
              </w:rPr>
            </w:pPr>
            <w:r>
              <w:rPr>
                <w:rFonts w:hint="eastAsia" w:ascii="宋体" w:hAnsi="宋体" w:cs="宋体"/>
                <w:szCs w:val="21"/>
                <w:lang w:bidi="ar"/>
              </w:rPr>
              <w:t>（</w:t>
            </w:r>
            <w:r>
              <w:rPr>
                <w:szCs w:val="21"/>
                <w:lang w:bidi="ar"/>
              </w:rPr>
              <w:t>9</w:t>
            </w:r>
            <w:r>
              <w:rPr>
                <w:rFonts w:hint="eastAsia" w:ascii="宋体" w:hAnsi="宋体" w:cs="宋体"/>
                <w:szCs w:val="21"/>
                <w:lang w:bidi="ar"/>
              </w:rPr>
              <w:t>）投标人不得在中标后将工程转包、再分包、肢解分包，否则招标人有权解除合同，违约金不足以弥补招标人损失的，招标人仍有权向中标人追偿；施工过程中服从招标人及监理单位的统一管理，施工过程中严格按照图纸及相关规范要求组织施工，确保工程质量、进度、安全。</w:t>
            </w:r>
          </w:p>
          <w:p w14:paraId="32655154">
            <w:pPr>
              <w:snapToGrid w:val="0"/>
              <w:spacing w:line="360" w:lineRule="auto"/>
              <w:rPr>
                <w:szCs w:val="21"/>
              </w:rPr>
            </w:pPr>
            <w:r>
              <w:rPr>
                <w:rFonts w:hint="eastAsia" w:ascii="宋体" w:hAnsi="宋体" w:cs="宋体"/>
                <w:szCs w:val="21"/>
                <w:lang w:bidi="ar"/>
              </w:rPr>
              <w:t>（</w:t>
            </w:r>
            <w:r>
              <w:rPr>
                <w:szCs w:val="21"/>
                <w:lang w:bidi="ar"/>
              </w:rPr>
              <w:t>10</w:t>
            </w:r>
            <w:r>
              <w:rPr>
                <w:rFonts w:hint="eastAsia" w:ascii="宋体" w:hAnsi="宋体" w:cs="宋体"/>
                <w:szCs w:val="21"/>
                <w:lang w:bidi="ar"/>
              </w:rPr>
              <w:t>）施工中遇到各种突发事件影响现场施工的，由中标单位全权协调处理</w:t>
            </w:r>
            <w:r>
              <w:rPr>
                <w:szCs w:val="21"/>
                <w:lang w:bidi="ar"/>
              </w:rPr>
              <w:t>,</w:t>
            </w:r>
            <w:r>
              <w:rPr>
                <w:rFonts w:hint="eastAsia" w:ascii="宋体" w:hAnsi="宋体" w:cs="宋体"/>
                <w:szCs w:val="21"/>
                <w:lang w:bidi="ar"/>
              </w:rPr>
              <w:t>自行考虑现场协调费用，在投标报价中综合考虑，此处不单独列项。</w:t>
            </w:r>
          </w:p>
          <w:p w14:paraId="73EDC646">
            <w:pPr>
              <w:snapToGrid w:val="0"/>
              <w:spacing w:line="360" w:lineRule="auto"/>
              <w:rPr>
                <w:szCs w:val="21"/>
              </w:rPr>
            </w:pPr>
            <w:r>
              <w:rPr>
                <w:rFonts w:hint="eastAsia" w:ascii="宋体" w:hAnsi="宋体" w:cs="宋体"/>
                <w:szCs w:val="21"/>
                <w:lang w:bidi="ar"/>
              </w:rPr>
              <w:t>（</w:t>
            </w:r>
            <w:r>
              <w:rPr>
                <w:szCs w:val="21"/>
                <w:lang w:bidi="ar"/>
              </w:rPr>
              <w:t>11</w:t>
            </w:r>
            <w:r>
              <w:rPr>
                <w:rFonts w:hint="eastAsia" w:ascii="宋体" w:hAnsi="宋体" w:cs="宋体"/>
                <w:szCs w:val="21"/>
                <w:lang w:bidi="ar"/>
              </w:rPr>
              <w:t>）施工期间，中标方对自供设备材料质量及安装质量负责，承担由质量问题引起的返工、工期拖延等相关责任和损失。</w:t>
            </w:r>
          </w:p>
          <w:p w14:paraId="03DC6591">
            <w:pPr>
              <w:snapToGrid w:val="0"/>
              <w:spacing w:line="360" w:lineRule="auto"/>
              <w:rPr>
                <w:szCs w:val="21"/>
              </w:rPr>
            </w:pPr>
            <w:r>
              <w:rPr>
                <w:rFonts w:hint="eastAsia" w:ascii="宋体" w:hAnsi="宋体" w:cs="宋体"/>
                <w:szCs w:val="21"/>
                <w:lang w:bidi="ar"/>
              </w:rPr>
              <w:t>（</w:t>
            </w:r>
            <w:r>
              <w:rPr>
                <w:szCs w:val="21"/>
                <w:lang w:bidi="ar"/>
              </w:rPr>
              <w:t>12</w:t>
            </w:r>
            <w:r>
              <w:rPr>
                <w:rFonts w:hint="eastAsia" w:ascii="宋体" w:hAnsi="宋体" w:cs="宋体"/>
                <w:szCs w:val="21"/>
                <w:lang w:bidi="ar"/>
              </w:rPr>
              <w:t>）施工用水、电由中标方自行解决，相关费用综合考</w:t>
            </w:r>
          </w:p>
          <w:p w14:paraId="39312226">
            <w:pPr>
              <w:snapToGrid w:val="0"/>
              <w:spacing w:line="360" w:lineRule="auto"/>
              <w:rPr>
                <w:b/>
                <w:bCs/>
                <w:szCs w:val="21"/>
              </w:rPr>
            </w:pPr>
            <w:r>
              <w:rPr>
                <w:rFonts w:hint="eastAsia" w:ascii="宋体" w:hAnsi="宋体" w:cs="宋体"/>
                <w:szCs w:val="21"/>
                <w:lang w:bidi="ar"/>
              </w:rPr>
              <w:t>虑在投标报价中。</w:t>
            </w:r>
          </w:p>
          <w:p w14:paraId="2CF7E7AB">
            <w:pPr>
              <w:pStyle w:val="15"/>
              <w:widowControl w:val="0"/>
              <w:spacing w:before="0" w:beforeAutospacing="0" w:after="0" w:afterAutospacing="0"/>
              <w:jc w:val="both"/>
              <w:rPr>
                <w:rFonts w:hAnsi="Courier New"/>
                <w:kern w:val="2"/>
                <w:sz w:val="21"/>
                <w:szCs w:val="21"/>
              </w:rPr>
            </w:pPr>
            <w:r>
              <w:rPr>
                <w:rFonts w:hint="eastAsia" w:cs="宋体"/>
                <w:kern w:val="2"/>
                <w:sz w:val="21"/>
                <w:szCs w:val="21"/>
                <w:lang w:bidi="ar"/>
              </w:rPr>
              <w:t>（13）涉及交通占道、道路破复、绿化移植，中标单位须按照属地管理部门要求办理相关手续，并按照相关标准和要求施工，竣工验收合格后移交至相关部门及单位。</w:t>
            </w:r>
          </w:p>
          <w:p w14:paraId="3D7F591F">
            <w:pPr>
              <w:pStyle w:val="15"/>
              <w:widowControl w:val="0"/>
              <w:spacing w:before="0" w:beforeAutospacing="0" w:after="0" w:afterAutospacing="0"/>
              <w:jc w:val="both"/>
              <w:rPr>
                <w:rFonts w:hAnsi="Courier New"/>
                <w:kern w:val="2"/>
                <w:sz w:val="21"/>
                <w:szCs w:val="21"/>
              </w:rPr>
            </w:pPr>
            <w:r>
              <w:rPr>
                <w:rFonts w:hint="eastAsia" w:cs="宋体"/>
                <w:kern w:val="2"/>
                <w:sz w:val="21"/>
                <w:szCs w:val="21"/>
                <w:lang w:bidi="ar"/>
              </w:rPr>
              <w:t>（14）本工程需配合指挥市政单位进行破除开挖，投标人需充分考虑道路破复、各产权单位管线、沿线电线杆及路灯杆迁移、交通信号控制机、军用光缆、电力线杆、弱电、各专业管线及井室的避让、保护、协调及其他设施保护措施等相关费用并含在投标报价中，中标后该费用不予调整。</w:t>
            </w:r>
          </w:p>
          <w:p w14:paraId="598AD779">
            <w:pPr>
              <w:pStyle w:val="15"/>
              <w:widowControl w:val="0"/>
              <w:spacing w:before="0" w:beforeAutospacing="0" w:after="0" w:afterAutospacing="0"/>
              <w:jc w:val="both"/>
              <w:rPr>
                <w:rFonts w:hAnsi="Courier New"/>
                <w:kern w:val="2"/>
                <w:sz w:val="21"/>
                <w:szCs w:val="21"/>
              </w:rPr>
            </w:pPr>
            <w:r>
              <w:rPr>
                <w:rFonts w:hint="eastAsia" w:cs="宋体"/>
                <w:kern w:val="2"/>
                <w:sz w:val="21"/>
                <w:szCs w:val="21"/>
                <w:lang w:bidi="ar"/>
              </w:rPr>
              <w:t>（15）本项目所涉及管线如靠近高压线、燃气管线，需报实施方案至产权单位，通过后方可实施；涉及管线如靠近高压线、燃气管线，需报实施方案至产权单位，通过后方可实施。以上相关费用含在投标报价中。</w:t>
            </w:r>
          </w:p>
          <w:p w14:paraId="3E79154C">
            <w:pPr>
              <w:pStyle w:val="15"/>
              <w:widowControl w:val="0"/>
              <w:spacing w:before="0" w:beforeAutospacing="0" w:after="0" w:afterAutospacing="0"/>
              <w:jc w:val="both"/>
              <w:rPr>
                <w:rFonts w:hAnsi="Courier New"/>
                <w:kern w:val="2"/>
                <w:sz w:val="21"/>
                <w:szCs w:val="21"/>
              </w:rPr>
            </w:pPr>
            <w:r>
              <w:rPr>
                <w:rFonts w:hint="eastAsia" w:cs="宋体"/>
                <w:kern w:val="2"/>
                <w:sz w:val="21"/>
                <w:szCs w:val="21"/>
                <w:lang w:bidi="ar"/>
              </w:rPr>
              <w:t>（16）涉及道路破复，需合理考虑施工方案，敷设临时钢板，做好相关协调工作，费用含在投标报价中。</w:t>
            </w:r>
          </w:p>
          <w:p w14:paraId="4632E45E">
            <w:pPr>
              <w:pStyle w:val="15"/>
              <w:widowControl w:val="0"/>
              <w:spacing w:before="0" w:beforeAutospacing="0" w:after="0" w:afterAutospacing="0"/>
              <w:jc w:val="both"/>
              <w:rPr>
                <w:rFonts w:hAnsi="Courier New"/>
                <w:kern w:val="2"/>
                <w:sz w:val="21"/>
                <w:szCs w:val="21"/>
              </w:rPr>
            </w:pPr>
            <w:r>
              <w:rPr>
                <w:rFonts w:hint="eastAsia" w:cs="宋体"/>
                <w:kern w:val="2"/>
                <w:sz w:val="21"/>
                <w:szCs w:val="21"/>
                <w:lang w:bidi="ar"/>
              </w:rPr>
              <w:t>（17）本工程安全文明施工要求高，投标人针对本工程所作出的安全文明措施必须符合合肥市创建文明卫生城市要求。施工现场卫生保洁自开工至工程市容卫生环境管理移交。同时，严格执行国务院</w:t>
            </w:r>
            <w:r>
              <w:rPr>
                <w:rFonts w:hint="eastAsia" w:hAnsi="Courier New"/>
                <w:kern w:val="2"/>
                <w:sz w:val="21"/>
                <w:szCs w:val="21"/>
                <w:lang w:bidi="ar"/>
              </w:rPr>
              <w:t xml:space="preserve"> </w:t>
            </w:r>
            <w:r>
              <w:rPr>
                <w:rFonts w:hint="eastAsia" w:cs="宋体"/>
                <w:kern w:val="2"/>
                <w:sz w:val="21"/>
                <w:szCs w:val="21"/>
                <w:lang w:bidi="ar"/>
              </w:rPr>
              <w:t>393 号令《建设工程安全生产管理条例》。必须严格执行《合肥市创建文明城市责任考评办法（试行）》《合肥市建设系统创文明城市工作实施细则》《合肥市建设工程扬尘污染防治暂行规定》和招标人针对本工程所作出的安全、文明措施， 确保符合合肥市创建文明卫生城市要求。中标人需按合肥市及合肥热电集团标准设置施工围挡，确保安全文明施工。以上费用含在投标报价中。</w:t>
            </w:r>
          </w:p>
          <w:p w14:paraId="296FC93C">
            <w:pPr>
              <w:pStyle w:val="15"/>
              <w:widowControl w:val="0"/>
              <w:spacing w:before="0" w:beforeAutospacing="0" w:after="0" w:afterAutospacing="0"/>
              <w:jc w:val="both"/>
              <w:rPr>
                <w:rFonts w:hint="eastAsia" w:cs="宋体"/>
                <w:b/>
                <w:bCs/>
                <w:kern w:val="2"/>
                <w:sz w:val="21"/>
                <w:szCs w:val="21"/>
                <w:lang w:bidi="ar"/>
              </w:rPr>
            </w:pPr>
            <w:r>
              <w:rPr>
                <w:rFonts w:hint="eastAsia" w:cs="宋体"/>
                <w:kern w:val="2"/>
                <w:sz w:val="21"/>
                <w:szCs w:val="21"/>
                <w:lang w:bidi="ar"/>
              </w:rPr>
              <w:t>（18）工程施工时，招标人在工地安装工地监控系统，即时掌握施工现场信息，方便施工操作管理。</w:t>
            </w:r>
            <w:r>
              <w:rPr>
                <w:rFonts w:hint="eastAsia" w:cs="宋体"/>
                <w:b/>
                <w:bCs/>
                <w:kern w:val="2"/>
                <w:sz w:val="21"/>
                <w:szCs w:val="21"/>
                <w:lang w:bidi="ar"/>
              </w:rPr>
              <w:t>工程施工时，招标人在工地安装工地监控系统，即时掌握施工现场信息，方便施工操作管理。投标人需配合招标人安装监控，同时做好设备保护，保证监控正常运转，并根据施工情况及时移动。相关费用包含在投标价中，不单独列项，中标后不予调整。同时对于招标人提供打卡机的，投标人需使用打卡机实名记录，并做好打卡机保护等工作。因保护招标人的监控及打卡机等设备不当导致打卡机丢失或损坏，中标人需负责赔偿同型号设备或修复如初。</w:t>
            </w:r>
          </w:p>
          <w:p w14:paraId="4087C988">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（19）工作内容包含本项目所有土方工程工作内容（挖一般土方、回填方、余方弃置），</w:t>
            </w:r>
          </w:p>
          <w:p w14:paraId="344B2BDE">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（20）土方工程量计算按开挖前自然方计算，此清单工程量为暂定工程量，具体以现场实测后计算工程量为准；</w:t>
            </w:r>
          </w:p>
          <w:p w14:paraId="42DEA5BC">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（21）运距及弃土场中标人自行考虑，项目土方回填土源由中标人提供并负责回填装卸，费用包含在综合单价内；</w:t>
            </w:r>
          </w:p>
          <w:p w14:paraId="7288FF13">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（22）自行勘察场区环境条件，招标人仅负责厂区环路修筑，其余便道均由中标人自行修筑，钢板铺设或砖渣均由中标人自行解决；</w:t>
            </w:r>
          </w:p>
          <w:p w14:paraId="0CAE7DAE">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（23）包含厂区土方回填土源提供及运输；</w:t>
            </w:r>
          </w:p>
          <w:p w14:paraId="1D1846C4">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24）机械燃油费、驾驶员工资和食宿、加班费、机械租赁（土方开挖、运输机械）及调遣费、车辆维修保养、渣土费、场内外保洁费、道路清理、安全防护、安全文明施工、地方关系协调等均由中标人负责，包含在综合单价内。因中标人进度滞后造成的土方翻挖、内倒费用由中标人自行承担。</w:t>
            </w:r>
          </w:p>
          <w:p w14:paraId="475F9CC7">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（25）中标人需全力配合招标人的现场管理。若因违反有关规定而被上级职能部门处理的，罚款全部由乙方承担。</w:t>
            </w:r>
          </w:p>
          <w:p w14:paraId="3A0E5463">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中标单位提供自卸式工程运输车辆及驾驶员，驾驶员工资及车辆的燃油维修保养费用自行承担。</w:t>
            </w:r>
          </w:p>
          <w:p w14:paraId="52C8287D">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本项目要求的工期和施工节点时间是在既定的招标条件及施工图纸要求下投标人应完成的时间；必须考虑雨季、雨雪天气、汛期、高温天气、假期等因素，在施工过程中，所有中标人为了按时完成本项目所作出的赶工措施（不限于施工方案优化、为提高施工效率及配合地方政府及其他单位要求而需增加的人、材、机等）而发生的费用，招标人将不予认可，此部分费用请投标人报价时一并考虑，中标后不予调整。中标人在工程实施过程中的用工行为，必须严格按照《保障农民工工资支付条例》（国令第 724 号）、《安徽省人民政府办公厅关于全面治理拖欠农民工工资问题的实施意见》（皖政办〔2016〕22 号）以及《合肥市人民政府关于建立根治欠薪长效工作机制的实施意见》合政〔2022〕204 号等文件精神的有关规定，依法与招用的农民工签订劳动合同，并按规定及时足额支付工资，足额缴纳农民工工资支付保障金、农民工工伤保险及相关税费。</w:t>
            </w:r>
          </w:p>
          <w:p w14:paraId="63C62B09">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各投标人在投标报价时充分考虑招标人对安全、工期、质量及其他要求的前提下结合本项目的特点、难点及现场踏勘情况，在确保自身合理利润情况下进行有竞争性的报价，严禁恶意低价竞标，杜绝“低中高结”现象，不得试图通过变更（含签证）或其它方式达到增加造价的目的，招标人将在后期的管理过程中严格依照招标文件约定对中标人实施管理，一旦出现违约行为，将从严从重进行考核处理。</w:t>
            </w:r>
          </w:p>
          <w:p w14:paraId="446DDA20">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建设工程不可竞争费构成及计费标准按《关于调整合肥市建设工程不可竞争费构成及计费标准的通知》（合造价〔2021〕5 号）执行。</w:t>
            </w:r>
          </w:p>
          <w:p w14:paraId="4555E001">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投标人应进行充分的现场踏勘，可能涉及施工作业场地租赁、水电的接入和计量、各部门之间协调费用、管线迁移费用、占道、破挖及恢复（含相关许可手续办理）等费用、所需物资材料及设备的进退场施工道路、所有勾接点（含井体、井盖及所有配件）费用等以及施工中不可预见费用。地表障碍物的迁移必须与相关部门协调，涉及迁移费用投标人应在编制投标报价时一并考虑，中标后不予任何调整。</w:t>
            </w:r>
          </w:p>
          <w:p w14:paraId="0A7F732A">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本项目按照相关建设管理规定，业主委托聘请了监理单位、第三方检测单位等相关方来把控本项目的安全、质量、投资、进度，中标人须全程配合相关方开展工作，本条招标人将予以考核。</w:t>
            </w:r>
          </w:p>
          <w:p w14:paraId="5671BBD8">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现场须做好各种检查、视察、考察、观摩等的相关准备、配合工作，确保接待工作顺利，中标人综合考虑，不单独列项。</w:t>
            </w:r>
          </w:p>
          <w:p w14:paraId="6440200A">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本项目要求的工期是在既定的招标条件及施工图纸要求下中标人应完成的时间，实际以招标人具体要求为准。必须考虑雨季、雨雪天气、高温天气、假期等因素，在施工过程中，所有中标人为了按时完成本项目所作出的赶工措施（不限于施工方案优化、为提高施工效率及配合地方政府及其他单位要求而需增加的人、材、机等）而发生的费用，招标人将不予认可，此部分费用请投标人报价时一并考虑，中标后不予调整。对延误工期等违约行为，将严格执行有关违约金条款，此外，每延误一天，处以违约金 1 万元/天。无正当理由工期滞后 30 天，建设(监理)单位约谈、书面通知后无明显效果的，发包人可以按招标文件、合同约定处以合同价 1%的违约金，并单方面解除合同，承包人需在接到发包人解除合同通知后 14 天内退场，由发包人委托造价咨询单位对已完成的合格工程进行计量。</w:t>
            </w:r>
          </w:p>
          <w:p w14:paraId="0B19FFEB">
            <w:pPr>
              <w:pStyle w:val="15"/>
              <w:widowControl w:val="0"/>
              <w:numPr>
                <w:ilvl w:val="0"/>
                <w:numId w:val="2"/>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涉及土方工程量充分考虑校区内环境因素，由施工方根据现场踏勘及已有勘察报告，充分考虑现场施工情况和工程量，因施工方未充分考虑的由施工方自行承担损失。场地挖槽土方按现场暂存、场外暂存及外弃相结合的原则，充分考虑土方平衡，因施工方考虑不当引起的费用增加由中标人承担。所有涉及整改资料必须按照一点一策标准整理，做到条目清晰，整改前整改后照片对比，做到市级验收检查组方便查阅，所有资料要纸质版 3 份移交建设单位。</w:t>
            </w:r>
          </w:p>
          <w:p w14:paraId="7F7B9D81">
            <w:pPr>
              <w:pStyle w:val="15"/>
              <w:widowControl w:val="0"/>
              <w:numPr>
                <w:ilvl w:val="0"/>
                <w:numId w:val="2"/>
              </w:numPr>
              <w:spacing w:before="0" w:beforeAutospacing="0" w:after="0" w:afterAutospacing="0"/>
              <w:jc w:val="both"/>
              <w:rPr>
                <w:rFonts w:hint="eastAsia" w:cs="宋体"/>
                <w:b/>
                <w:bCs/>
                <w:kern w:val="2"/>
                <w:sz w:val="21"/>
                <w:szCs w:val="21"/>
                <w:lang w:bidi="ar"/>
              </w:rPr>
            </w:pPr>
            <w:r>
              <w:rPr>
                <w:rFonts w:hint="eastAsia" w:cs="宋体"/>
                <w:b/>
                <w:bCs/>
                <w:kern w:val="2"/>
                <w:sz w:val="21"/>
                <w:szCs w:val="21"/>
                <w:lang w:bidi="ar"/>
              </w:rPr>
              <w:t>安全文明施工要求：</w:t>
            </w:r>
          </w:p>
          <w:p w14:paraId="4456547A">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1）中标人应严格执行国家、安徽省和合肥市相关安全文明施工管理的相关规定及安全监督部门下发的最新通知，遵守招标人指定的安全管理制度及《排水工程文明施工及现场环境管理要点》，落实安全文明施工，本条进行考核。 中标人必须做好安全文明施工（包括但不限于：场区布置、安全防护、生活区管理、防尘降噪、夜间施工等），满足建设（监理）单位及各级政府、行业主管部门关于工程建设质量、安全、文明施工的相关要求。所有费</w:t>
            </w:r>
          </w:p>
          <w:p w14:paraId="3EF3947A">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用包含在综合报价中，不单独计列，请谨慎报价，中标后不予调整。</w:t>
            </w:r>
          </w:p>
          <w:p w14:paraId="2193E317">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施工期间临时设施搭设、施工用料堆放、扬尘、噪音、污染控制、垃圾清运、土方覆盖等安全文明施工措施均须无条件服从招标人的指挥调度，同时中标人应配备专业的安全文明班组，对现场安全文明施工进行管控，本条予以考核。</w:t>
            </w:r>
          </w:p>
          <w:p w14:paraId="417BA9DE">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3）中标人管理人员及工人应统一配发反光上衣、安全帽，统一着装后方可进入施工现场。车辆冲洗干净后方可驶出工地，不得先污染后清理。禁止有污染车辆进入工地，否则对施工方予以处理。中标人须强化渣土运输全程的管理，对渣土运输过程中的不良行为负连带责任，招标人有权对中标人处违约金 1000-10000 元/次。</w:t>
            </w:r>
          </w:p>
          <w:p w14:paraId="4030928C">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（4）对工程取土区域作业、建（构）筑物拆除作业、市政道路破除作业时，须持续开启雾炮车喷雾降尘，工地内黄土、易扬尘建筑材料超过 24 小时未施工的须进行覆盖，须采用防尘网或绿毡布覆盖到位。</w:t>
            </w:r>
          </w:p>
          <w:p w14:paraId="2272EA17">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5）建筑工地内施工现场组织精细，机械设备、材料摆放有序，文明施工气氛浓厚。本项目须严格执行国家、市级及招标人管理要求。在施工现场设立扬尘污染的在线监控设施及对开挖裸露土方进行有效覆盖，同时在施工现场设置主要视角进行视频监控，费用一并考虑在投标报价中，标后不予调整。</w:t>
            </w:r>
          </w:p>
          <w:p w14:paraId="2D8B370B">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（6）安全文明施工费以及其他相关等措施费按月由监理计量，若当月安全文明施工、环保、文明检查投入力度不够，通报上级主管部门，并在当月支付中给予扣除。</w:t>
            </w:r>
          </w:p>
          <w:p w14:paraId="50CB6DCC">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建设工程不可竞争费构成及计费标准按《关于调整合肥市建设工程不可竞争费构成及计费标准的通知》（合造价〔2021〕5 号）执行，本工程最高投标限价（招标控制价）已按规定的措施项目、费率和单价列出招标工程施工扬尘污染防治费用和建筑工人实名制管理费用清单，投标人应承诺投标报价中已包含招标文件公布的施工扬尘污染防治费用和建筑工人实名制管理费用。工程竣工结算时，未落实的施工扬尘污染防治和建筑工人实名制管理措施项目,应按清单所列金额从工程结算价款中扣除。</w:t>
            </w:r>
          </w:p>
          <w:p w14:paraId="27400BEB">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建设工程不可竞争费构成及计费标准按《关于调整合肥市建设工程不可竞争费构成及计费标准的通知》（合造价〔2021〕5 号）执行，本工程最高投标限价（招标控制价）已按规定的措施项目、费率和单价列出招标工程施工扬尘污染防治费用和建筑工人实名制管理费用清单，投标人应承诺投标报价中已包含招标文件公布的施工扬尘污染防治费用和建筑工人实名制管理费用。工程竣工结算时，未落实的施工扬尘污染防治和建筑工人实名制管理措施项目,应按清单所列金额从工程结算价款中扣除。</w:t>
            </w:r>
          </w:p>
          <w:p w14:paraId="5F1603EC">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本项目在改造过程中需设置临时围挡及出入口将生产生活区域、学习区域与施工区域实现完全封闭隔离。</w:t>
            </w:r>
          </w:p>
          <w:p w14:paraId="6AA14E7F">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本项目主要位于市政道路内施工，工期紧、任务重、影响大，安全文明施工要求高，社会关注度高，因工期紧迫，要求多点同时开工，施工时应合理安排时间，做好施工中的噪声控制、扬尘管理，安全文明施工等措施，尽可能减少对周边环境的影响。中标人进场时，需提供有针对性的施工方案，综合考虑设计进度及施工中人、机、材投入，以保证按时保质完工。中标人必须根据招标人的要求采取切实可行的措施并确保交通畅通和安全，确保各种管线安全运营，确保居民出行方便，将施工给群众带来的干扰降低最低限度。因中标人原因造成管线损坏等其它恶劣影响事件，每发生一次处以承包人 5000 元/次的违约金。</w:t>
            </w:r>
          </w:p>
          <w:p w14:paraId="494D4F34">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为了尽量降低施工给居民造成的各种影响，原则上施工场地所有物料需当天用当天清，施工产生的垃圾同时当天清理。</w:t>
            </w:r>
          </w:p>
          <w:p w14:paraId="35E45B67">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中标人应安排好工期，有噪音的施工项目应利用非正常休息时间段进行；施工中产生的建筑垃圾应及时清理、产生的破坏应原价赔偿或予以修复，如未及时清理或修复，招标人有权选择其他单位进行清理或修复，相关费用从项目当月进度款或质保金中予以扣除。</w:t>
            </w:r>
          </w:p>
          <w:p w14:paraId="14934C45">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本项目余土外弃必须运出项目范围之外的弃土场。道路水稳及沥青路面施工须配备胶轮压路机压实，水稳或沥青骨料严禁使用再生料。中标人所用水电的报装、施工、看护、拆除等相关均由中标人自行解决且中标人不得以水电尚未到位等理由延误工期。</w:t>
            </w:r>
          </w:p>
          <w:p w14:paraId="71E1C256">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中标人因安全文明施工及扬尘污染防治等问题，被区级行业主管部门通报、履约约谈或者新闻媒体曝光，处以 5 万元违约金；市级及以上的处以 10 万元违约金。中标人须自行考虑环保政策、城管要求等导致的土方运输问题，必要时按照招标人要求须进行二次土方倒运，并承担所有费用。投标报价含弃土场、渣土费、水土保持（包含监测验收全过程服务工作）、市容维护、交通导改、扬尘防治等一切费用；中标人应负责协调一切与该工程有关的地方关系，并负责支付工程有关的费用。</w:t>
            </w:r>
          </w:p>
          <w:p w14:paraId="7CE9642F">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中标人应加强施工人员的安全教育和交底，经检查发现未经安全教育或交底，按 1000 元/次向发包人支付违约金。</w:t>
            </w:r>
          </w:p>
          <w:p w14:paraId="20B56486">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现场指挥和作业人员必须遵照安全技术规范和操作规程文明施工，发现违章指挥、违章操作和吵架等不文明行为，按 2000 元/人次向招标人支付违约金，同时给予教育批评。</w:t>
            </w:r>
          </w:p>
          <w:p w14:paraId="69DE2F7C">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建设（监理）单位组织施工负责人、专职安全员每周 2 次对现场进行一次安全大检查，中标人将检查出的安全问题限期整改。整改不力的按 5000 元/次向招标人支付违约金。</w:t>
            </w:r>
          </w:p>
          <w:p w14:paraId="0BD09AD7">
            <w:pPr>
              <w:pStyle w:val="15"/>
              <w:widowControl w:val="0"/>
              <w:numPr>
                <w:ilvl w:val="0"/>
                <w:numId w:val="3"/>
              </w:numPr>
              <w:spacing w:before="0" w:beforeAutospacing="0" w:after="0" w:afterAutospacing="0"/>
              <w:jc w:val="both"/>
              <w:rPr>
                <w:rFonts w:hint="eastAsia" w:cs="宋体"/>
                <w:kern w:val="2"/>
                <w:sz w:val="21"/>
                <w:szCs w:val="21"/>
                <w:lang w:bidi="ar"/>
              </w:rPr>
            </w:pPr>
            <w:r>
              <w:rPr>
                <w:rFonts w:hint="eastAsia" w:cs="宋体"/>
                <w:kern w:val="2"/>
                <w:sz w:val="21"/>
                <w:szCs w:val="21"/>
                <w:lang w:bidi="ar"/>
              </w:rPr>
              <w:t>临边防护必须按规范文件执行，现场未及时回填的沟槽、未安装井盖的检查井必须做好围挡、警示标识等临边防护措施，现场每发现一次按 2000 元/次向招标人支付违约金。</w:t>
            </w:r>
          </w:p>
          <w:p w14:paraId="5CD0E812">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18）渣土处置费用（建筑垃圾消纳处理费）：中标人负责办理渣土处置证、渣土运输证等渣土外运、弃置所需的一切手续并承担相关费用。此项费用数额较大，请投标人在报价时综合考虑，谨慎报价，所有费用包含在投标总价中，结算时不予调整。</w:t>
            </w:r>
          </w:p>
          <w:p w14:paraId="5563DCB2">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19）中标人仔细踏勘现场并做好各类调查工作，同时采取必要的保护措施防止因项目施工发生的第三方损失或自身损失（包括不限于：基坑支护位移导致项目损失，城市内涝导致项目损失等），请投标人在报价时综合考虑。</w:t>
            </w:r>
          </w:p>
          <w:p w14:paraId="7316708D">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（20）因设计变更或者招标人要求等原因取消或者变更减少某项工程量时，相关费用必须据实核减，中标人不得进行索赔或者其他异议。</w:t>
            </w:r>
          </w:p>
          <w:p w14:paraId="3EE8D3E6">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（21）涉及环保问题整改且项目建议书明确销号的项目最终以通过市、区级验收销号为准，施工单位施工整改必须至销号为准。</w:t>
            </w:r>
          </w:p>
          <w:p w14:paraId="0515F001">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（22）中标人做好雨水天气的应急处置，夏季避免雨污水倒灌影响居民生活，冬季避免雨污水上冻致居民摔伤等意外，由此造成损失中标人自理。</w:t>
            </w:r>
          </w:p>
          <w:p w14:paraId="35A51AD9">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（23）投标人必须考虑到开工时间的不确定性，投标报价时必须充分考虑到材料、人工、机械设备价格升降等因素，中标后不得因此原因提出工期或费用索赔。</w:t>
            </w:r>
          </w:p>
          <w:p w14:paraId="1A03D16C">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24）投标人应认真核对图纸，仔细踏勘现场，现状地形、地貌可能与设计图纸存在不符，投标人考虑各种潜在的风险；另外，因建设场地限制，施工组织综合性较强，投标人必须提前认真踏勘现场，做好测绘测量工作以及施工组织预案等，合理报价。上述情况，中标后不得以任何理由要求增加造价，因事先不踏勘现场造成的一切损失，由投标人自行承担。标前各投标单位应认真查看图纸并踏勘现场。如有疑问在招标文件规定的时间前提出答疑，谨慎报价，除业主提出的设计变更外，后期的图纸会审和其它因图纸不明确造成的漏项、节点不明等，其费用一律不予办理签证，均视为中标优惠或列入其它组价中。</w:t>
            </w:r>
          </w:p>
          <w:p w14:paraId="1F85E6DE">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中标人施工前要做好交通分流方案，施工涉及周边企业及住宅小区、学校、医院、村民菜田、苗圃等，施工过程中协调任务繁杂，中标人要对村民、居民、物业等单位或者个人的投诉妥善处理，及时化解各种纠纷和投诉。相关协调产生的所有费用（包括协调费用，处理投诉或者纠纷产生的一切费用，误工费用等）均包含在投标报价内，清单中不再单独列项，投标单位自行考虑，中标后不予调整。</w:t>
            </w:r>
          </w:p>
          <w:p w14:paraId="6EF682D3">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26）中标人须充分考虑项目建设过程中的不确定性，如:周边企业协调、居民阻挠及其他不可预见因素导致施工或验收时间推迟，造成人工、材料、机械设备价格升降等各方面、各种因素，请投标人充分考虑该部分费用，投标报价时谨慎报价，中标后不得因此因素提出索赔及调整。项目实施范围内的所有地上地下附属物保护、迁移及现场积水、图纸设计工程量外的高出土方、菜地、绿色植物、建筑垃圾、拆迁垃圾、现场混凝土块、生活垃圾、淤泥、沟塘、树根、道路两侧房建项目基坑回填土处理、施工范围内水井、其它所有地上地下杆管线（建筑物、构筑物）保护（迁移、维修、处理、赔偿等）、淤泥土及土方不足换填等一切拆除、回填、处理、外运等，涉及本项目施工的与中标人相关的事宜，施工至满足业主、产权单位、设计及后期施工等的所有要求，所涉及的费用由投标单位自行考虑，综合考虑在报价中，清单不再单独列项，结算时不再调整。</w:t>
            </w:r>
          </w:p>
          <w:p w14:paraId="0205D0FE">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27）由于非中标人的原因（如政策方面原因、规划设计调整或当地政府指令原因等）导致部分工程或部分单项工程推迟开工或取消，中标人不得就该建设工程的延迟或取消向招标人索赔，招标人亦无义务以其他工程替代或以其他任何方式对中标人进行补偿。无论该条款是否在建设工程施工合同中予以明确，投标人中标后均视为同意遵守。</w:t>
            </w:r>
          </w:p>
          <w:p w14:paraId="342F48F6">
            <w:pPr>
              <w:pStyle w:val="15"/>
              <w:widowControl w:val="0"/>
              <w:spacing w:before="0" w:beforeAutospacing="0" w:after="0" w:afterAutospacing="0"/>
              <w:jc w:val="both"/>
              <w:rPr>
                <w:rFonts w:hint="eastAsia" w:cs="宋体"/>
                <w:kern w:val="2"/>
                <w:sz w:val="21"/>
                <w:szCs w:val="21"/>
                <w:lang w:bidi="ar"/>
              </w:rPr>
            </w:pPr>
            <w:r>
              <w:rPr>
                <w:rFonts w:hint="eastAsia" w:cs="宋体"/>
                <w:kern w:val="2"/>
                <w:sz w:val="21"/>
                <w:szCs w:val="21"/>
                <w:lang w:bidi="ar"/>
              </w:rPr>
              <w:t>（28）施工所需临时便道、水、电以投标时现场踏勘条件为准，施工便道修筑及临时水电、通讯线路接引工作由承包人自行解决，并实施防护工程与警示标志。本条款所发生的一切费用均已含在投标报价中，不予签证或调整。若临时供电工程在开工初期无法安装到位或者后期运营维护中出现线路故障等问题，中标人应配备相应备用电源，以保证施工正常进行，由此产生的费用含在投标报价中，不再另行计取支付。</w:t>
            </w:r>
          </w:p>
          <w:p w14:paraId="150ED10D">
            <w:pPr>
              <w:spacing w:after="156" w:afterLines="50"/>
            </w:pPr>
            <w:r>
              <w:rPr>
                <w:rFonts w:hint="eastAsia" w:ascii="宋体" w:hAnsi="宋体" w:cs="宋体"/>
                <w:b/>
                <w:bCs/>
                <w:szCs w:val="21"/>
              </w:rPr>
              <w:t>（29）</w:t>
            </w:r>
            <w:r>
              <w:rPr>
                <w:rFonts w:hint="eastAsia" w:ascii="宋体" w:hAnsi="宋体" w:cs="宋体"/>
                <w:b/>
                <w:bCs/>
                <w:szCs w:val="21"/>
                <w:highlight w:val="yellow"/>
              </w:rPr>
              <w:t>相关质量安全施工规范需符合招标人和建设单位/业主要求，招标人的相关规范详见招标附件。现场未做到位的，招标人有权依据相关内容进行处罚。</w:t>
            </w:r>
          </w:p>
        </w:tc>
      </w:tr>
      <w:bookmarkEnd w:id="56"/>
    </w:tbl>
    <w:p w14:paraId="044D3974">
      <w:pPr>
        <w:pStyle w:val="7"/>
        <w:rPr>
          <w:rFonts w:hint="eastAsia"/>
        </w:rPr>
      </w:pPr>
    </w:p>
    <w:p w14:paraId="21A1C5D3">
      <w:pPr>
        <w:rPr>
          <w:rFonts w:eastAsia="黑体"/>
          <w:snapToGrid w:val="0"/>
          <w:kern w:val="44"/>
          <w:sz w:val="44"/>
          <w:szCs w:val="42"/>
          <w:lang w:val="zh-CN"/>
        </w:rPr>
      </w:pPr>
      <w:bookmarkStart w:id="62" w:name="_Toc27356003"/>
      <w:bookmarkStart w:id="63" w:name="_Toc36116842"/>
      <w:bookmarkStart w:id="64" w:name="_Toc27355962"/>
      <w:bookmarkStart w:id="65" w:name="_Toc12025"/>
      <w:bookmarkStart w:id="66" w:name="_Toc1848"/>
      <w:bookmarkStart w:id="67" w:name="_Toc507438166"/>
      <w:bookmarkStart w:id="68" w:name="bookmark103"/>
      <w:bookmarkStart w:id="69" w:name="_Toc526774257"/>
      <w:bookmarkStart w:id="70" w:name="_Toc522892876"/>
      <w:bookmarkStart w:id="71" w:name="_Toc507438164"/>
      <w:r>
        <w:rPr>
          <w:rFonts w:eastAsia="黑体"/>
          <w:snapToGrid w:val="0"/>
          <w:kern w:val="44"/>
          <w:sz w:val="44"/>
          <w:szCs w:val="42"/>
          <w:lang w:val="zh-CN"/>
        </w:rPr>
        <w:br w:type="page"/>
      </w:r>
    </w:p>
    <w:p w14:paraId="562EE959">
      <w:pPr>
        <w:pStyle w:val="21"/>
        <w:keepNext/>
        <w:keepLines/>
        <w:shd w:val="clear" w:color="auto" w:fill="auto"/>
        <w:spacing w:after="586" w:line="240" w:lineRule="auto"/>
        <w:ind w:left="20"/>
        <w:outlineLvl w:val="0"/>
        <w:rPr>
          <w:rFonts w:ascii="Times New Roman" w:eastAsia="黑体"/>
          <w:bCs w:val="0"/>
          <w:snapToGrid w:val="0"/>
          <w:color w:val="000000"/>
          <w:kern w:val="44"/>
          <w:sz w:val="44"/>
          <w:szCs w:val="42"/>
          <w:lang w:val="zh-CN"/>
        </w:rPr>
      </w:pPr>
      <w:r>
        <w:rPr>
          <w:rFonts w:ascii="Times New Roman" w:eastAsia="黑体"/>
          <w:bCs w:val="0"/>
          <w:snapToGrid w:val="0"/>
          <w:kern w:val="44"/>
          <w:sz w:val="44"/>
          <w:szCs w:val="42"/>
          <w:lang w:val="zh-CN"/>
        </w:rPr>
        <w:t>第三章</w:t>
      </w:r>
      <w:r>
        <w:rPr>
          <w:rFonts w:hint="eastAsia" w:ascii="Times New Roman" w:eastAsia="黑体"/>
          <w:bCs w:val="0"/>
          <w:snapToGrid w:val="0"/>
          <w:kern w:val="44"/>
          <w:sz w:val="44"/>
          <w:szCs w:val="42"/>
          <w:lang w:val="zh-CN"/>
        </w:rPr>
        <w:t xml:space="preserve"> </w:t>
      </w:r>
      <w:r>
        <w:rPr>
          <w:rFonts w:ascii="Times New Roman" w:eastAsia="黑体"/>
          <w:bCs w:val="0"/>
          <w:snapToGrid w:val="0"/>
          <w:kern w:val="44"/>
          <w:sz w:val="44"/>
          <w:szCs w:val="42"/>
          <w:lang w:val="zh-CN"/>
        </w:rPr>
        <w:t>评标办法</w:t>
      </w:r>
      <w:r>
        <w:rPr>
          <w:rFonts w:ascii="Times New Roman" w:eastAsia="黑体"/>
          <w:bCs w:val="0"/>
          <w:snapToGrid w:val="0"/>
          <w:kern w:val="44"/>
          <w:sz w:val="44"/>
          <w:szCs w:val="42"/>
          <w:lang w:val="zh-CN"/>
        </w:rPr>
        <w:br w:type="textWrapping"/>
      </w:r>
      <w:r>
        <w:rPr>
          <w:rFonts w:hint="eastAsia" w:ascii="Times New Roman" w:eastAsia="黑体"/>
          <w:bCs w:val="0"/>
          <w:snapToGrid w:val="0"/>
          <w:kern w:val="44"/>
          <w:sz w:val="44"/>
          <w:szCs w:val="42"/>
          <w:lang w:val="zh-CN"/>
        </w:rPr>
        <w:t>（第</w:t>
      </w:r>
      <w:r>
        <w:rPr>
          <w:rFonts w:hint="eastAsia" w:ascii="Times New Roman" w:eastAsia="黑体"/>
          <w:bCs w:val="0"/>
          <w:snapToGrid w:val="0"/>
          <w:kern w:val="44"/>
          <w:sz w:val="44"/>
          <w:szCs w:val="42"/>
        </w:rPr>
        <w:t>三</w:t>
      </w:r>
      <w:r>
        <w:rPr>
          <w:rFonts w:hint="eastAsia" w:ascii="Times New Roman" w:eastAsia="黑体"/>
          <w:bCs w:val="0"/>
          <w:snapToGrid w:val="0"/>
          <w:kern w:val="44"/>
          <w:sz w:val="44"/>
          <w:szCs w:val="42"/>
          <w:lang w:val="zh-CN"/>
        </w:rPr>
        <w:t>种：综合评估法（</w:t>
      </w:r>
      <w:r>
        <w:rPr>
          <w:rFonts w:hint="eastAsia" w:ascii="Times New Roman" w:eastAsia="黑体"/>
          <w:bCs w:val="0"/>
          <w:snapToGrid w:val="0"/>
          <w:kern w:val="44"/>
          <w:sz w:val="44"/>
          <w:szCs w:val="42"/>
        </w:rPr>
        <w:t>中位值</w:t>
      </w:r>
      <w:r>
        <w:rPr>
          <w:rFonts w:hint="eastAsia" w:ascii="Times New Roman" w:eastAsia="黑体"/>
          <w:bCs w:val="0"/>
          <w:snapToGrid w:val="0"/>
          <w:kern w:val="44"/>
          <w:sz w:val="44"/>
          <w:szCs w:val="42"/>
          <w:lang w:val="zh-CN"/>
        </w:rPr>
        <w:t>））</w:t>
      </w:r>
      <w:bookmarkEnd w:id="62"/>
      <w:bookmarkEnd w:id="63"/>
      <w:bookmarkEnd w:id="64"/>
      <w:bookmarkEnd w:id="65"/>
      <w:bookmarkEnd w:id="66"/>
    </w:p>
    <w:p w14:paraId="60BACFED">
      <w:pPr>
        <w:keepNext/>
        <w:keepLines/>
        <w:spacing w:before="260" w:after="260" w:line="415" w:lineRule="auto"/>
        <w:jc w:val="center"/>
        <w:outlineLvl w:val="1"/>
        <w:rPr>
          <w:rFonts w:eastAsia="黑体"/>
          <w:b/>
          <w:bCs/>
          <w:sz w:val="32"/>
          <w:szCs w:val="32"/>
        </w:rPr>
      </w:pPr>
      <w:bookmarkStart w:id="72" w:name="_Toc21934"/>
      <w:bookmarkStart w:id="73" w:name="_Toc36116843"/>
      <w:bookmarkStart w:id="74" w:name="_Toc10084"/>
      <w:r>
        <w:rPr>
          <w:rFonts w:hint="eastAsia" w:eastAsia="黑体"/>
          <w:b/>
          <w:bCs/>
          <w:sz w:val="32"/>
          <w:szCs w:val="32"/>
        </w:rPr>
        <w:t>评标办法前附表一——初步评审表</w:t>
      </w:r>
      <w:bookmarkEnd w:id="72"/>
      <w:bookmarkEnd w:id="73"/>
      <w:bookmarkEnd w:id="74"/>
    </w:p>
    <w:tbl>
      <w:tblPr>
        <w:tblStyle w:val="17"/>
        <w:tblpPr w:leftFromText="180" w:rightFromText="180" w:vertAnchor="text" w:horzAnchor="page" w:tblpX="1590" w:tblpY="955"/>
        <w:tblOverlap w:val="never"/>
        <w:tblW w:w="89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6"/>
        <w:gridCol w:w="912"/>
        <w:gridCol w:w="2168"/>
        <w:gridCol w:w="5212"/>
      </w:tblGrid>
      <w:tr w14:paraId="50290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548" w:type="dxa"/>
            <w:gridSpan w:val="2"/>
            <w:tcBorders>
              <w:top w:val="single" w:color="auto" w:sz="4" w:space="0"/>
              <w:bottom w:val="single" w:color="auto" w:sz="4" w:space="0"/>
              <w:right w:val="single" w:color="auto" w:sz="4" w:space="0"/>
            </w:tcBorders>
            <w:vAlign w:val="center"/>
          </w:tcPr>
          <w:p w14:paraId="79C793B5">
            <w:pPr>
              <w:spacing w:line="360" w:lineRule="auto"/>
              <w:jc w:val="center"/>
              <w:rPr>
                <w:b/>
                <w:szCs w:val="21"/>
              </w:rPr>
            </w:pPr>
            <w:bookmarkStart w:id="75" w:name="_Toc36116844"/>
            <w:bookmarkStart w:id="76" w:name="_Toc27350126"/>
            <w:bookmarkStart w:id="77" w:name="_Toc23926"/>
            <w:r>
              <w:rPr>
                <w:szCs w:val="21"/>
              </w:rPr>
              <w:t xml:space="preserve">  </w:t>
            </w:r>
            <w:r>
              <w:rPr>
                <w:b/>
                <w:szCs w:val="21"/>
              </w:rPr>
              <w:t>条款号</w:t>
            </w:r>
          </w:p>
        </w:tc>
        <w:tc>
          <w:tcPr>
            <w:tcW w:w="2168" w:type="dxa"/>
            <w:tcBorders>
              <w:top w:val="single" w:color="auto" w:sz="4" w:space="0"/>
              <w:left w:val="single" w:color="auto" w:sz="4" w:space="0"/>
              <w:bottom w:val="single" w:color="auto" w:sz="4" w:space="0"/>
              <w:right w:val="single" w:color="auto" w:sz="4" w:space="0"/>
            </w:tcBorders>
            <w:vAlign w:val="center"/>
          </w:tcPr>
          <w:p w14:paraId="787A7412">
            <w:pPr>
              <w:spacing w:line="360" w:lineRule="auto"/>
              <w:jc w:val="center"/>
              <w:rPr>
                <w:b/>
                <w:szCs w:val="21"/>
              </w:rPr>
            </w:pPr>
            <w:r>
              <w:rPr>
                <w:b/>
                <w:szCs w:val="21"/>
              </w:rPr>
              <w:t>评审因素</w:t>
            </w:r>
          </w:p>
        </w:tc>
        <w:tc>
          <w:tcPr>
            <w:tcW w:w="5212" w:type="dxa"/>
            <w:tcBorders>
              <w:top w:val="single" w:color="auto" w:sz="4" w:space="0"/>
              <w:left w:val="single" w:color="auto" w:sz="4" w:space="0"/>
              <w:bottom w:val="single" w:color="auto" w:sz="4" w:space="0"/>
              <w:right w:val="single" w:color="auto" w:sz="4" w:space="0"/>
            </w:tcBorders>
            <w:vAlign w:val="center"/>
          </w:tcPr>
          <w:p w14:paraId="0CC3D758">
            <w:pPr>
              <w:spacing w:line="360" w:lineRule="auto"/>
              <w:jc w:val="center"/>
              <w:rPr>
                <w:b/>
                <w:szCs w:val="21"/>
              </w:rPr>
            </w:pPr>
            <w:r>
              <w:rPr>
                <w:b/>
                <w:szCs w:val="21"/>
              </w:rPr>
              <w:t>评审标准</w:t>
            </w:r>
          </w:p>
        </w:tc>
      </w:tr>
      <w:tr w14:paraId="232FA4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restart"/>
            <w:tcBorders>
              <w:top w:val="single" w:color="auto" w:sz="4" w:space="0"/>
              <w:bottom w:val="single" w:color="auto" w:sz="4" w:space="0"/>
              <w:right w:val="single" w:color="auto" w:sz="4" w:space="0"/>
            </w:tcBorders>
            <w:vAlign w:val="center"/>
          </w:tcPr>
          <w:p w14:paraId="511A9D0C">
            <w:pPr>
              <w:spacing w:line="360" w:lineRule="auto"/>
              <w:jc w:val="center"/>
              <w:rPr>
                <w:szCs w:val="21"/>
              </w:rPr>
            </w:pPr>
            <w:r>
              <w:rPr>
                <w:rFonts w:hint="eastAsia"/>
                <w:szCs w:val="21"/>
              </w:rPr>
              <w:t>3</w:t>
            </w:r>
            <w:r>
              <w:rPr>
                <w:szCs w:val="21"/>
              </w:rPr>
              <w:t>.1.1</w:t>
            </w:r>
          </w:p>
        </w:tc>
        <w:tc>
          <w:tcPr>
            <w:tcW w:w="912" w:type="dxa"/>
            <w:vMerge w:val="restart"/>
            <w:tcBorders>
              <w:top w:val="single" w:color="auto" w:sz="4" w:space="0"/>
              <w:bottom w:val="single" w:color="auto" w:sz="4" w:space="0"/>
              <w:right w:val="single" w:color="auto" w:sz="4" w:space="0"/>
            </w:tcBorders>
            <w:vAlign w:val="center"/>
          </w:tcPr>
          <w:p w14:paraId="0507C8D4">
            <w:pPr>
              <w:spacing w:line="360" w:lineRule="auto"/>
              <w:jc w:val="center"/>
              <w:rPr>
                <w:szCs w:val="21"/>
              </w:rPr>
            </w:pPr>
            <w:r>
              <w:rPr>
                <w:szCs w:val="21"/>
              </w:rPr>
              <w:t>形式评审标准</w:t>
            </w:r>
          </w:p>
        </w:tc>
        <w:tc>
          <w:tcPr>
            <w:tcW w:w="2168" w:type="dxa"/>
            <w:tcBorders>
              <w:top w:val="single" w:color="auto" w:sz="4" w:space="0"/>
              <w:left w:val="single" w:color="auto" w:sz="4" w:space="0"/>
              <w:bottom w:val="single" w:color="auto" w:sz="4" w:space="0"/>
              <w:right w:val="single" w:color="auto" w:sz="4" w:space="0"/>
            </w:tcBorders>
            <w:vAlign w:val="center"/>
          </w:tcPr>
          <w:p w14:paraId="16B01CF9">
            <w:pPr>
              <w:spacing w:line="360" w:lineRule="auto"/>
              <w:jc w:val="center"/>
              <w:rPr>
                <w:szCs w:val="21"/>
              </w:rPr>
            </w:pPr>
            <w:r>
              <w:rPr>
                <w:szCs w:val="21"/>
              </w:rPr>
              <w:t>投标人名称</w:t>
            </w:r>
          </w:p>
        </w:tc>
        <w:tc>
          <w:tcPr>
            <w:tcW w:w="5212" w:type="dxa"/>
            <w:tcBorders>
              <w:top w:val="single" w:color="auto" w:sz="4" w:space="0"/>
              <w:left w:val="single" w:color="auto" w:sz="4" w:space="0"/>
              <w:bottom w:val="single" w:color="auto" w:sz="4" w:space="0"/>
              <w:right w:val="single" w:color="auto" w:sz="4" w:space="0"/>
            </w:tcBorders>
            <w:vAlign w:val="center"/>
          </w:tcPr>
          <w:p w14:paraId="7D543985">
            <w:pPr>
              <w:spacing w:line="360" w:lineRule="auto"/>
              <w:jc w:val="left"/>
              <w:rPr>
                <w:szCs w:val="21"/>
              </w:rPr>
            </w:pPr>
            <w:r>
              <w:rPr>
                <w:szCs w:val="21"/>
              </w:rPr>
              <w:t>与营业执照、资质证书</w:t>
            </w:r>
            <w:r>
              <w:rPr>
                <w:rFonts w:hint="eastAsia"/>
                <w:szCs w:val="21"/>
              </w:rPr>
              <w:t>、安全生产许可证</w:t>
            </w:r>
            <w:r>
              <w:rPr>
                <w:szCs w:val="21"/>
              </w:rPr>
              <w:t>一致</w:t>
            </w:r>
          </w:p>
        </w:tc>
      </w:tr>
      <w:tr w14:paraId="1F577C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75D794AE">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6A6FBCF6">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5BB11CFB">
            <w:pPr>
              <w:spacing w:line="360" w:lineRule="auto"/>
              <w:jc w:val="center"/>
              <w:rPr>
                <w:szCs w:val="21"/>
              </w:rPr>
            </w:pPr>
            <w:r>
              <w:rPr>
                <w:szCs w:val="21"/>
              </w:rPr>
              <w:t>签字盖章</w:t>
            </w:r>
          </w:p>
        </w:tc>
        <w:tc>
          <w:tcPr>
            <w:tcW w:w="5212" w:type="dxa"/>
            <w:tcBorders>
              <w:top w:val="single" w:color="auto" w:sz="4" w:space="0"/>
              <w:left w:val="single" w:color="auto" w:sz="4" w:space="0"/>
              <w:bottom w:val="single" w:color="auto" w:sz="4" w:space="0"/>
              <w:right w:val="single" w:color="auto" w:sz="4" w:space="0"/>
            </w:tcBorders>
            <w:vAlign w:val="center"/>
          </w:tcPr>
          <w:p w14:paraId="34B1AD70">
            <w:pPr>
              <w:spacing w:line="360" w:lineRule="auto"/>
              <w:jc w:val="left"/>
              <w:rPr>
                <w:szCs w:val="21"/>
              </w:rPr>
            </w:pPr>
            <w:r>
              <w:rPr>
                <w:rFonts w:hint="eastAsia"/>
              </w:rPr>
              <w:t>符合第二章“投标人须知”</w:t>
            </w:r>
          </w:p>
        </w:tc>
      </w:tr>
      <w:tr w14:paraId="624993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7A5E7962">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1563A6E8">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2B06C0F7">
            <w:pPr>
              <w:spacing w:line="360" w:lineRule="auto"/>
              <w:jc w:val="center"/>
              <w:rPr>
                <w:szCs w:val="21"/>
              </w:rPr>
            </w:pPr>
            <w:r>
              <w:rPr>
                <w:szCs w:val="21"/>
              </w:rPr>
              <w:t>投标文件格式</w:t>
            </w:r>
          </w:p>
        </w:tc>
        <w:tc>
          <w:tcPr>
            <w:tcW w:w="5212" w:type="dxa"/>
            <w:tcBorders>
              <w:top w:val="single" w:color="auto" w:sz="4" w:space="0"/>
              <w:left w:val="single" w:color="auto" w:sz="4" w:space="0"/>
              <w:bottom w:val="single" w:color="auto" w:sz="4" w:space="0"/>
              <w:right w:val="single" w:color="auto" w:sz="4" w:space="0"/>
            </w:tcBorders>
            <w:vAlign w:val="center"/>
          </w:tcPr>
          <w:p w14:paraId="3D257D6D">
            <w:pPr>
              <w:spacing w:line="360" w:lineRule="auto"/>
              <w:jc w:val="left"/>
              <w:rPr>
                <w:szCs w:val="21"/>
              </w:rPr>
            </w:pPr>
            <w:r>
              <w:rPr>
                <w:szCs w:val="21"/>
              </w:rPr>
              <w:t>符合第八章</w:t>
            </w:r>
            <w:r>
              <w:rPr>
                <w:rFonts w:hint="eastAsia"/>
                <w:szCs w:val="21"/>
              </w:rPr>
              <w:t>“</w:t>
            </w:r>
            <w:r>
              <w:rPr>
                <w:szCs w:val="21"/>
              </w:rPr>
              <w:t>投标文件格式</w:t>
            </w:r>
            <w:r>
              <w:rPr>
                <w:rFonts w:hint="eastAsia"/>
                <w:szCs w:val="21"/>
              </w:rPr>
              <w:t>”</w:t>
            </w:r>
            <w:r>
              <w:rPr>
                <w:szCs w:val="21"/>
              </w:rPr>
              <w:t>的要求</w:t>
            </w:r>
          </w:p>
        </w:tc>
      </w:tr>
      <w:tr w14:paraId="279A09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3BA09B6A">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1B76F878">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3E26C798">
            <w:pPr>
              <w:spacing w:line="360" w:lineRule="auto"/>
              <w:jc w:val="center"/>
              <w:rPr>
                <w:szCs w:val="21"/>
              </w:rPr>
            </w:pPr>
            <w:r>
              <w:rPr>
                <w:rFonts w:hint="eastAsia"/>
                <w:szCs w:val="21"/>
              </w:rPr>
              <w:t>投标文件规范性</w:t>
            </w:r>
          </w:p>
        </w:tc>
        <w:tc>
          <w:tcPr>
            <w:tcW w:w="5212" w:type="dxa"/>
            <w:tcBorders>
              <w:top w:val="single" w:color="auto" w:sz="4" w:space="0"/>
              <w:left w:val="single" w:color="auto" w:sz="4" w:space="0"/>
              <w:bottom w:val="single" w:color="auto" w:sz="4" w:space="0"/>
              <w:right w:val="single" w:color="auto" w:sz="4" w:space="0"/>
            </w:tcBorders>
            <w:vAlign w:val="center"/>
          </w:tcPr>
          <w:p w14:paraId="70C3EE4E">
            <w:pPr>
              <w:spacing w:line="360" w:lineRule="auto"/>
              <w:jc w:val="left"/>
              <w:rPr>
                <w:szCs w:val="21"/>
              </w:rPr>
            </w:pPr>
            <w:r>
              <w:rPr>
                <w:rFonts w:hint="eastAsia"/>
                <w:szCs w:val="21"/>
              </w:rPr>
              <w:t>无严重的编排混乱、内容不全或字迹模糊辨认不清、前后矛盾情况，对评标无实质性影响的</w:t>
            </w:r>
          </w:p>
        </w:tc>
      </w:tr>
      <w:tr w14:paraId="62FACA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restart"/>
            <w:tcBorders>
              <w:top w:val="single" w:color="auto" w:sz="4" w:space="0"/>
              <w:bottom w:val="single" w:color="auto" w:sz="4" w:space="0"/>
              <w:right w:val="single" w:color="auto" w:sz="4" w:space="0"/>
            </w:tcBorders>
            <w:vAlign w:val="center"/>
          </w:tcPr>
          <w:p w14:paraId="5B61605F">
            <w:pPr>
              <w:spacing w:line="360" w:lineRule="auto"/>
              <w:jc w:val="center"/>
              <w:rPr>
                <w:szCs w:val="21"/>
              </w:rPr>
            </w:pPr>
            <w:r>
              <w:rPr>
                <w:rFonts w:hint="eastAsia"/>
                <w:szCs w:val="21"/>
              </w:rPr>
              <w:t>3</w:t>
            </w:r>
            <w:r>
              <w:rPr>
                <w:szCs w:val="21"/>
              </w:rPr>
              <w:t>.1.2</w:t>
            </w:r>
          </w:p>
        </w:tc>
        <w:tc>
          <w:tcPr>
            <w:tcW w:w="912" w:type="dxa"/>
            <w:vMerge w:val="restart"/>
            <w:tcBorders>
              <w:top w:val="single" w:color="auto" w:sz="4" w:space="0"/>
              <w:bottom w:val="single" w:color="auto" w:sz="4" w:space="0"/>
              <w:right w:val="single" w:color="auto" w:sz="4" w:space="0"/>
            </w:tcBorders>
            <w:vAlign w:val="center"/>
          </w:tcPr>
          <w:p w14:paraId="41BAF5FA">
            <w:pPr>
              <w:spacing w:line="360" w:lineRule="auto"/>
              <w:jc w:val="center"/>
              <w:rPr>
                <w:szCs w:val="21"/>
              </w:rPr>
            </w:pPr>
            <w:r>
              <w:rPr>
                <w:szCs w:val="21"/>
              </w:rPr>
              <w:t>资格评审标准</w:t>
            </w:r>
          </w:p>
        </w:tc>
        <w:tc>
          <w:tcPr>
            <w:tcW w:w="2168" w:type="dxa"/>
            <w:tcBorders>
              <w:top w:val="single" w:color="auto" w:sz="4" w:space="0"/>
              <w:left w:val="single" w:color="auto" w:sz="4" w:space="0"/>
              <w:bottom w:val="single" w:color="auto" w:sz="4" w:space="0"/>
              <w:right w:val="single" w:color="auto" w:sz="4" w:space="0"/>
            </w:tcBorders>
            <w:vAlign w:val="center"/>
          </w:tcPr>
          <w:p w14:paraId="3C7B4D04">
            <w:pPr>
              <w:spacing w:line="360" w:lineRule="auto"/>
              <w:jc w:val="center"/>
              <w:rPr>
                <w:szCs w:val="21"/>
              </w:rPr>
            </w:pPr>
            <w:r>
              <w:rPr>
                <w:szCs w:val="21"/>
              </w:rPr>
              <w:t>营业执照</w:t>
            </w:r>
          </w:p>
        </w:tc>
        <w:tc>
          <w:tcPr>
            <w:tcW w:w="5212" w:type="dxa"/>
            <w:tcBorders>
              <w:top w:val="single" w:color="auto" w:sz="4" w:space="0"/>
              <w:left w:val="single" w:color="auto" w:sz="4" w:space="0"/>
              <w:bottom w:val="single" w:color="auto" w:sz="4" w:space="0"/>
              <w:right w:val="single" w:color="auto" w:sz="4" w:space="0"/>
            </w:tcBorders>
            <w:vAlign w:val="center"/>
          </w:tcPr>
          <w:p w14:paraId="61465A15">
            <w:pPr>
              <w:spacing w:line="360" w:lineRule="auto"/>
              <w:jc w:val="left"/>
              <w:rPr>
                <w:szCs w:val="21"/>
              </w:rPr>
            </w:pPr>
            <w:r>
              <w:rPr>
                <w:szCs w:val="21"/>
              </w:rPr>
              <w:t>具备有效的营业执照</w:t>
            </w:r>
          </w:p>
        </w:tc>
      </w:tr>
      <w:tr w14:paraId="15F526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single" w:color="auto" w:sz="4" w:space="0"/>
              <w:bottom w:val="single" w:color="auto" w:sz="4" w:space="0"/>
              <w:right w:val="single" w:color="auto" w:sz="4" w:space="0"/>
            </w:tcBorders>
            <w:vAlign w:val="center"/>
          </w:tcPr>
          <w:p w14:paraId="4A316F54">
            <w:pPr>
              <w:spacing w:line="360" w:lineRule="auto"/>
              <w:jc w:val="center"/>
              <w:rPr>
                <w:szCs w:val="21"/>
              </w:rPr>
            </w:pPr>
          </w:p>
        </w:tc>
        <w:tc>
          <w:tcPr>
            <w:tcW w:w="912" w:type="dxa"/>
            <w:vMerge w:val="continue"/>
            <w:tcBorders>
              <w:top w:val="single" w:color="auto" w:sz="4" w:space="0"/>
              <w:bottom w:val="single" w:color="auto" w:sz="4" w:space="0"/>
              <w:right w:val="single" w:color="auto" w:sz="4" w:space="0"/>
            </w:tcBorders>
            <w:vAlign w:val="center"/>
          </w:tcPr>
          <w:p w14:paraId="6588CFCA">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tcPr>
          <w:p w14:paraId="4C987643">
            <w:pPr>
              <w:spacing w:line="360" w:lineRule="auto"/>
              <w:jc w:val="center"/>
              <w:rPr>
                <w:szCs w:val="21"/>
              </w:rPr>
            </w:pPr>
            <w:r>
              <w:rPr>
                <w:rFonts w:hint="eastAsia"/>
                <w:szCs w:val="21"/>
              </w:rPr>
              <w:t>安全生产许可证</w:t>
            </w:r>
          </w:p>
        </w:tc>
        <w:tc>
          <w:tcPr>
            <w:tcW w:w="5212" w:type="dxa"/>
            <w:tcBorders>
              <w:top w:val="single" w:color="auto" w:sz="4" w:space="0"/>
              <w:left w:val="single" w:color="auto" w:sz="4" w:space="0"/>
              <w:bottom w:val="single" w:color="auto" w:sz="4" w:space="0"/>
              <w:right w:val="single" w:color="auto" w:sz="4" w:space="0"/>
            </w:tcBorders>
          </w:tcPr>
          <w:p w14:paraId="0FFDC82D">
            <w:pPr>
              <w:spacing w:line="360" w:lineRule="auto"/>
              <w:jc w:val="left"/>
              <w:rPr>
                <w:szCs w:val="21"/>
              </w:rPr>
            </w:pPr>
            <w:r>
              <w:rPr>
                <w:szCs w:val="21"/>
              </w:rPr>
              <w:t>具备有效的</w:t>
            </w:r>
            <w:r>
              <w:rPr>
                <w:rFonts w:hint="eastAsia"/>
                <w:szCs w:val="21"/>
              </w:rPr>
              <w:t>安全生产许可证</w:t>
            </w:r>
          </w:p>
        </w:tc>
      </w:tr>
      <w:tr w14:paraId="69C26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78C1103E">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219906B9">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06A3A5C7">
            <w:pPr>
              <w:spacing w:line="360" w:lineRule="auto"/>
              <w:jc w:val="center"/>
              <w:rPr>
                <w:szCs w:val="21"/>
              </w:rPr>
            </w:pPr>
            <w:r>
              <w:rPr>
                <w:szCs w:val="21"/>
              </w:rPr>
              <w:t>资质等级</w:t>
            </w:r>
          </w:p>
        </w:tc>
        <w:tc>
          <w:tcPr>
            <w:tcW w:w="5212" w:type="dxa"/>
            <w:tcBorders>
              <w:top w:val="single" w:color="auto" w:sz="4" w:space="0"/>
              <w:left w:val="single" w:color="auto" w:sz="4" w:space="0"/>
              <w:bottom w:val="single" w:color="auto" w:sz="4" w:space="0"/>
              <w:right w:val="single" w:color="auto" w:sz="4" w:space="0"/>
            </w:tcBorders>
            <w:vAlign w:val="center"/>
          </w:tcPr>
          <w:p w14:paraId="4F1B6A1B">
            <w:pPr>
              <w:spacing w:line="360" w:lineRule="auto"/>
              <w:rPr>
                <w:szCs w:val="21"/>
              </w:rPr>
            </w:pPr>
            <w:r>
              <w:rPr>
                <w:szCs w:val="21"/>
              </w:rPr>
              <w:t>符合第二章</w:t>
            </w:r>
            <w:r>
              <w:rPr>
                <w:rFonts w:hint="eastAsia"/>
              </w:rPr>
              <w:t>“投标人须知”</w:t>
            </w:r>
          </w:p>
        </w:tc>
      </w:tr>
      <w:tr w14:paraId="25A7D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62935707">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497E832E">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157B5B2C">
            <w:pPr>
              <w:spacing w:line="360" w:lineRule="auto"/>
              <w:jc w:val="center"/>
              <w:rPr>
                <w:szCs w:val="21"/>
              </w:rPr>
            </w:pPr>
            <w:r>
              <w:rPr>
                <w:szCs w:val="21"/>
              </w:rPr>
              <w:t>项目经理资格及业绩</w:t>
            </w:r>
          </w:p>
        </w:tc>
        <w:tc>
          <w:tcPr>
            <w:tcW w:w="5212" w:type="dxa"/>
            <w:tcBorders>
              <w:top w:val="single" w:color="auto" w:sz="4" w:space="0"/>
              <w:left w:val="single" w:color="auto" w:sz="4" w:space="0"/>
              <w:bottom w:val="single" w:color="auto" w:sz="4" w:space="0"/>
              <w:right w:val="single" w:color="auto" w:sz="4" w:space="0"/>
            </w:tcBorders>
            <w:vAlign w:val="center"/>
          </w:tcPr>
          <w:p w14:paraId="38656A32">
            <w:pPr>
              <w:spacing w:line="360" w:lineRule="auto"/>
              <w:rPr>
                <w:szCs w:val="21"/>
              </w:rPr>
            </w:pPr>
            <w:r>
              <w:rPr>
                <w:szCs w:val="21"/>
              </w:rPr>
              <w:t>符合第二章</w:t>
            </w:r>
            <w:r>
              <w:rPr>
                <w:rFonts w:hint="eastAsia"/>
              </w:rPr>
              <w:t>“投标人须知”</w:t>
            </w:r>
          </w:p>
        </w:tc>
      </w:tr>
      <w:tr w14:paraId="058C5E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32FE8E90">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6AAFFA7C">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7C294E85">
            <w:pPr>
              <w:spacing w:line="360" w:lineRule="auto"/>
              <w:jc w:val="center"/>
              <w:rPr>
                <w:szCs w:val="21"/>
              </w:rPr>
            </w:pPr>
            <w:r>
              <w:rPr>
                <w:rFonts w:hint="eastAsia"/>
                <w:szCs w:val="21"/>
              </w:rPr>
              <w:t>业绩要求</w:t>
            </w:r>
          </w:p>
        </w:tc>
        <w:tc>
          <w:tcPr>
            <w:tcW w:w="5212" w:type="dxa"/>
            <w:tcBorders>
              <w:top w:val="single" w:color="auto" w:sz="4" w:space="0"/>
              <w:left w:val="single" w:color="auto" w:sz="4" w:space="0"/>
              <w:bottom w:val="single" w:color="auto" w:sz="4" w:space="0"/>
              <w:right w:val="single" w:color="auto" w:sz="4" w:space="0"/>
            </w:tcBorders>
            <w:vAlign w:val="center"/>
          </w:tcPr>
          <w:p w14:paraId="57B63E99">
            <w:pPr>
              <w:spacing w:line="360" w:lineRule="auto"/>
              <w:rPr>
                <w:szCs w:val="21"/>
              </w:rPr>
            </w:pPr>
            <w:r>
              <w:rPr>
                <w:szCs w:val="21"/>
              </w:rPr>
              <w:t>符合第二章</w:t>
            </w:r>
            <w:r>
              <w:rPr>
                <w:rFonts w:hint="eastAsia"/>
              </w:rPr>
              <w:t>“投标人须知”</w:t>
            </w:r>
          </w:p>
        </w:tc>
      </w:tr>
      <w:tr w14:paraId="5C43E6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7506DCEF">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2356BA2E">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51314C34">
            <w:pPr>
              <w:spacing w:line="360" w:lineRule="auto"/>
              <w:jc w:val="center"/>
              <w:rPr>
                <w:szCs w:val="21"/>
              </w:rPr>
            </w:pPr>
            <w:r>
              <w:rPr>
                <w:rFonts w:hint="eastAsia"/>
                <w:szCs w:val="21"/>
              </w:rPr>
              <w:t>信用要求</w:t>
            </w:r>
          </w:p>
        </w:tc>
        <w:tc>
          <w:tcPr>
            <w:tcW w:w="5212" w:type="dxa"/>
            <w:tcBorders>
              <w:top w:val="single" w:color="auto" w:sz="4" w:space="0"/>
              <w:left w:val="single" w:color="auto" w:sz="4" w:space="0"/>
              <w:bottom w:val="single" w:color="auto" w:sz="4" w:space="0"/>
              <w:right w:val="single" w:color="auto" w:sz="4" w:space="0"/>
            </w:tcBorders>
            <w:vAlign w:val="center"/>
          </w:tcPr>
          <w:p w14:paraId="6B454A65">
            <w:pPr>
              <w:spacing w:line="360" w:lineRule="auto"/>
              <w:rPr>
                <w:szCs w:val="21"/>
              </w:rPr>
            </w:pPr>
            <w:r>
              <w:rPr>
                <w:szCs w:val="21"/>
              </w:rPr>
              <w:t>符合第二章</w:t>
            </w:r>
            <w:r>
              <w:rPr>
                <w:rFonts w:hint="eastAsia"/>
              </w:rPr>
              <w:t>“投标人须知”</w:t>
            </w:r>
          </w:p>
        </w:tc>
      </w:tr>
      <w:tr w14:paraId="1B6AF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top w:val="nil"/>
              <w:bottom w:val="single" w:color="auto" w:sz="4" w:space="0"/>
              <w:right w:val="single" w:color="auto" w:sz="4" w:space="0"/>
            </w:tcBorders>
            <w:vAlign w:val="center"/>
          </w:tcPr>
          <w:p w14:paraId="33FECAAB">
            <w:pPr>
              <w:spacing w:line="360" w:lineRule="auto"/>
              <w:jc w:val="center"/>
              <w:rPr>
                <w:szCs w:val="21"/>
              </w:rPr>
            </w:pPr>
          </w:p>
        </w:tc>
        <w:tc>
          <w:tcPr>
            <w:tcW w:w="912" w:type="dxa"/>
            <w:vMerge w:val="continue"/>
            <w:tcBorders>
              <w:top w:val="nil"/>
              <w:bottom w:val="single" w:color="auto" w:sz="4" w:space="0"/>
              <w:right w:val="single" w:color="auto" w:sz="4" w:space="0"/>
            </w:tcBorders>
            <w:vAlign w:val="center"/>
          </w:tcPr>
          <w:p w14:paraId="50B1E148">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531C54DB">
            <w:pPr>
              <w:spacing w:line="360" w:lineRule="auto"/>
              <w:jc w:val="center"/>
              <w:rPr>
                <w:szCs w:val="21"/>
              </w:rPr>
            </w:pPr>
            <w:r>
              <w:rPr>
                <w:rFonts w:hint="eastAsia"/>
                <w:szCs w:val="21"/>
              </w:rPr>
              <w:t>其他要求</w:t>
            </w:r>
          </w:p>
        </w:tc>
        <w:tc>
          <w:tcPr>
            <w:tcW w:w="5212" w:type="dxa"/>
            <w:tcBorders>
              <w:top w:val="single" w:color="auto" w:sz="4" w:space="0"/>
              <w:left w:val="single" w:color="auto" w:sz="4" w:space="0"/>
              <w:bottom w:val="single" w:color="auto" w:sz="4" w:space="0"/>
              <w:right w:val="single" w:color="auto" w:sz="4" w:space="0"/>
            </w:tcBorders>
            <w:vAlign w:val="center"/>
          </w:tcPr>
          <w:p w14:paraId="00F03D43">
            <w:pPr>
              <w:spacing w:line="360" w:lineRule="auto"/>
              <w:rPr>
                <w:szCs w:val="21"/>
              </w:rPr>
            </w:pPr>
            <w:r>
              <w:rPr>
                <w:szCs w:val="21"/>
              </w:rPr>
              <w:t>符合第二章</w:t>
            </w:r>
            <w:r>
              <w:rPr>
                <w:rFonts w:hint="eastAsia"/>
              </w:rPr>
              <w:t>“投标人须知”</w:t>
            </w:r>
          </w:p>
        </w:tc>
      </w:tr>
      <w:tr w14:paraId="11FC3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restart"/>
            <w:tcBorders>
              <w:top w:val="single" w:color="auto" w:sz="4" w:space="0"/>
              <w:right w:val="single" w:color="auto" w:sz="4" w:space="0"/>
            </w:tcBorders>
            <w:vAlign w:val="center"/>
          </w:tcPr>
          <w:p w14:paraId="716497BB">
            <w:pPr>
              <w:spacing w:line="360" w:lineRule="auto"/>
              <w:jc w:val="center"/>
              <w:rPr>
                <w:szCs w:val="21"/>
              </w:rPr>
            </w:pPr>
            <w:r>
              <w:rPr>
                <w:rFonts w:hint="eastAsia"/>
                <w:szCs w:val="21"/>
              </w:rPr>
              <w:t>3</w:t>
            </w:r>
            <w:r>
              <w:rPr>
                <w:szCs w:val="21"/>
              </w:rPr>
              <w:t>.1.3</w:t>
            </w:r>
          </w:p>
        </w:tc>
        <w:tc>
          <w:tcPr>
            <w:tcW w:w="912" w:type="dxa"/>
            <w:vMerge w:val="restart"/>
            <w:tcBorders>
              <w:top w:val="single" w:color="auto" w:sz="4" w:space="0"/>
              <w:right w:val="single" w:color="auto" w:sz="4" w:space="0"/>
            </w:tcBorders>
            <w:vAlign w:val="center"/>
          </w:tcPr>
          <w:p w14:paraId="3B1DD99B">
            <w:pPr>
              <w:spacing w:line="360" w:lineRule="auto"/>
              <w:jc w:val="center"/>
              <w:rPr>
                <w:szCs w:val="21"/>
              </w:rPr>
            </w:pPr>
            <w:r>
              <w:rPr>
                <w:szCs w:val="21"/>
              </w:rPr>
              <w:t>响应性评审</w:t>
            </w:r>
          </w:p>
          <w:p w14:paraId="0331EA80">
            <w:pPr>
              <w:spacing w:line="360" w:lineRule="auto"/>
              <w:jc w:val="center"/>
              <w:rPr>
                <w:szCs w:val="21"/>
              </w:rPr>
            </w:pPr>
            <w:r>
              <w:rPr>
                <w:szCs w:val="21"/>
              </w:rPr>
              <w:t>标准</w:t>
            </w:r>
          </w:p>
        </w:tc>
        <w:tc>
          <w:tcPr>
            <w:tcW w:w="2168" w:type="dxa"/>
            <w:tcBorders>
              <w:top w:val="single" w:color="auto" w:sz="4" w:space="0"/>
              <w:left w:val="single" w:color="auto" w:sz="4" w:space="0"/>
              <w:bottom w:val="single" w:color="auto" w:sz="4" w:space="0"/>
              <w:right w:val="single" w:color="auto" w:sz="4" w:space="0"/>
            </w:tcBorders>
            <w:vAlign w:val="center"/>
          </w:tcPr>
          <w:p w14:paraId="2CFDE626">
            <w:pPr>
              <w:spacing w:line="360" w:lineRule="auto"/>
              <w:jc w:val="center"/>
              <w:rPr>
                <w:szCs w:val="21"/>
              </w:rPr>
            </w:pPr>
            <w:r>
              <w:rPr>
                <w:szCs w:val="21"/>
              </w:rPr>
              <w:t>工期</w:t>
            </w:r>
          </w:p>
        </w:tc>
        <w:tc>
          <w:tcPr>
            <w:tcW w:w="5212" w:type="dxa"/>
            <w:tcBorders>
              <w:top w:val="single" w:color="auto" w:sz="4" w:space="0"/>
              <w:left w:val="single" w:color="auto" w:sz="4" w:space="0"/>
              <w:bottom w:val="single" w:color="auto" w:sz="4" w:space="0"/>
              <w:right w:val="single" w:color="auto" w:sz="4" w:space="0"/>
            </w:tcBorders>
            <w:vAlign w:val="center"/>
          </w:tcPr>
          <w:p w14:paraId="23731BBF">
            <w:pPr>
              <w:spacing w:line="360" w:lineRule="auto"/>
              <w:rPr>
                <w:szCs w:val="21"/>
              </w:rPr>
            </w:pPr>
            <w:r>
              <w:rPr>
                <w:szCs w:val="21"/>
              </w:rPr>
              <w:t>符合第二章</w:t>
            </w:r>
            <w:r>
              <w:rPr>
                <w:rFonts w:hint="eastAsia"/>
              </w:rPr>
              <w:t>“投标人须知”</w:t>
            </w:r>
          </w:p>
        </w:tc>
      </w:tr>
      <w:tr w14:paraId="3E8C9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13638DAA">
            <w:pPr>
              <w:spacing w:line="360" w:lineRule="auto"/>
              <w:jc w:val="center"/>
              <w:rPr>
                <w:szCs w:val="21"/>
              </w:rPr>
            </w:pPr>
          </w:p>
        </w:tc>
        <w:tc>
          <w:tcPr>
            <w:tcW w:w="912" w:type="dxa"/>
            <w:vMerge w:val="continue"/>
            <w:tcBorders>
              <w:right w:val="single" w:color="auto" w:sz="4" w:space="0"/>
            </w:tcBorders>
            <w:vAlign w:val="center"/>
          </w:tcPr>
          <w:p w14:paraId="6D3E65EE">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0DD95DFD">
            <w:pPr>
              <w:spacing w:line="360" w:lineRule="auto"/>
              <w:jc w:val="center"/>
              <w:rPr>
                <w:szCs w:val="21"/>
              </w:rPr>
            </w:pPr>
            <w:r>
              <w:rPr>
                <w:szCs w:val="21"/>
              </w:rPr>
              <w:t>质量要求</w:t>
            </w:r>
          </w:p>
        </w:tc>
        <w:tc>
          <w:tcPr>
            <w:tcW w:w="5212" w:type="dxa"/>
            <w:tcBorders>
              <w:top w:val="single" w:color="auto" w:sz="4" w:space="0"/>
              <w:left w:val="single" w:color="auto" w:sz="4" w:space="0"/>
              <w:bottom w:val="single" w:color="auto" w:sz="4" w:space="0"/>
              <w:right w:val="single" w:color="auto" w:sz="4" w:space="0"/>
            </w:tcBorders>
            <w:vAlign w:val="center"/>
          </w:tcPr>
          <w:p w14:paraId="66F77691">
            <w:pPr>
              <w:spacing w:line="360" w:lineRule="auto"/>
              <w:rPr>
                <w:szCs w:val="21"/>
              </w:rPr>
            </w:pPr>
            <w:r>
              <w:rPr>
                <w:szCs w:val="21"/>
              </w:rPr>
              <w:t>符合第二章</w:t>
            </w:r>
            <w:r>
              <w:rPr>
                <w:rFonts w:hint="eastAsia"/>
              </w:rPr>
              <w:t>“投标人须知”</w:t>
            </w:r>
          </w:p>
        </w:tc>
      </w:tr>
      <w:tr w14:paraId="2C2079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32F15FFD">
            <w:pPr>
              <w:spacing w:line="360" w:lineRule="auto"/>
              <w:jc w:val="center"/>
              <w:rPr>
                <w:szCs w:val="21"/>
              </w:rPr>
            </w:pPr>
          </w:p>
        </w:tc>
        <w:tc>
          <w:tcPr>
            <w:tcW w:w="912" w:type="dxa"/>
            <w:vMerge w:val="continue"/>
            <w:tcBorders>
              <w:right w:val="single" w:color="auto" w:sz="4" w:space="0"/>
            </w:tcBorders>
            <w:vAlign w:val="center"/>
          </w:tcPr>
          <w:p w14:paraId="70FC3F54">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1816723A">
            <w:pPr>
              <w:spacing w:line="360" w:lineRule="auto"/>
              <w:jc w:val="center"/>
              <w:rPr>
                <w:szCs w:val="21"/>
              </w:rPr>
            </w:pPr>
            <w:r>
              <w:rPr>
                <w:szCs w:val="21"/>
              </w:rPr>
              <w:t>安全要求</w:t>
            </w:r>
          </w:p>
        </w:tc>
        <w:tc>
          <w:tcPr>
            <w:tcW w:w="5212" w:type="dxa"/>
            <w:tcBorders>
              <w:top w:val="single" w:color="auto" w:sz="4" w:space="0"/>
              <w:left w:val="single" w:color="auto" w:sz="4" w:space="0"/>
              <w:bottom w:val="single" w:color="auto" w:sz="4" w:space="0"/>
              <w:right w:val="single" w:color="auto" w:sz="4" w:space="0"/>
            </w:tcBorders>
            <w:vAlign w:val="center"/>
          </w:tcPr>
          <w:p w14:paraId="3028E686">
            <w:pPr>
              <w:spacing w:line="360" w:lineRule="auto"/>
              <w:rPr>
                <w:szCs w:val="21"/>
              </w:rPr>
            </w:pPr>
            <w:r>
              <w:rPr>
                <w:szCs w:val="21"/>
              </w:rPr>
              <w:t>符合第二章</w:t>
            </w:r>
            <w:r>
              <w:rPr>
                <w:rFonts w:hint="eastAsia"/>
              </w:rPr>
              <w:t>“投标人须知”</w:t>
            </w:r>
          </w:p>
        </w:tc>
      </w:tr>
      <w:tr w14:paraId="404D2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74D471CE">
            <w:pPr>
              <w:spacing w:line="360" w:lineRule="auto"/>
              <w:jc w:val="center"/>
              <w:rPr>
                <w:szCs w:val="21"/>
              </w:rPr>
            </w:pPr>
          </w:p>
        </w:tc>
        <w:tc>
          <w:tcPr>
            <w:tcW w:w="912" w:type="dxa"/>
            <w:vMerge w:val="continue"/>
            <w:tcBorders>
              <w:right w:val="single" w:color="auto" w:sz="4" w:space="0"/>
            </w:tcBorders>
            <w:vAlign w:val="center"/>
          </w:tcPr>
          <w:p w14:paraId="151EE539">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5D4C7912">
            <w:pPr>
              <w:spacing w:line="360" w:lineRule="auto"/>
              <w:jc w:val="center"/>
              <w:rPr>
                <w:szCs w:val="21"/>
              </w:rPr>
            </w:pPr>
            <w:r>
              <w:rPr>
                <w:rFonts w:hint="eastAsia"/>
                <w:szCs w:val="21"/>
              </w:rPr>
              <w:t>投标有效期</w:t>
            </w:r>
          </w:p>
        </w:tc>
        <w:tc>
          <w:tcPr>
            <w:tcW w:w="5212" w:type="dxa"/>
            <w:tcBorders>
              <w:top w:val="single" w:color="auto" w:sz="4" w:space="0"/>
              <w:left w:val="single" w:color="auto" w:sz="4" w:space="0"/>
              <w:bottom w:val="single" w:color="auto" w:sz="4" w:space="0"/>
              <w:right w:val="single" w:color="auto" w:sz="4" w:space="0"/>
            </w:tcBorders>
            <w:vAlign w:val="center"/>
          </w:tcPr>
          <w:p w14:paraId="59CD9EAC">
            <w:pPr>
              <w:spacing w:line="360" w:lineRule="auto"/>
              <w:rPr>
                <w:szCs w:val="21"/>
              </w:rPr>
            </w:pPr>
            <w:r>
              <w:rPr>
                <w:szCs w:val="21"/>
              </w:rPr>
              <w:t>符合第二章</w:t>
            </w:r>
            <w:r>
              <w:rPr>
                <w:rFonts w:hint="eastAsia"/>
              </w:rPr>
              <w:t>“投标人须知”</w:t>
            </w:r>
          </w:p>
        </w:tc>
      </w:tr>
      <w:tr w14:paraId="6A19F7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6A9E7A48">
            <w:pPr>
              <w:spacing w:line="360" w:lineRule="auto"/>
              <w:jc w:val="center"/>
              <w:rPr>
                <w:szCs w:val="21"/>
              </w:rPr>
            </w:pPr>
          </w:p>
        </w:tc>
        <w:tc>
          <w:tcPr>
            <w:tcW w:w="912" w:type="dxa"/>
            <w:vMerge w:val="continue"/>
            <w:tcBorders>
              <w:right w:val="single" w:color="auto" w:sz="4" w:space="0"/>
            </w:tcBorders>
            <w:vAlign w:val="center"/>
          </w:tcPr>
          <w:p w14:paraId="5CC609C6">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3471E72B">
            <w:pPr>
              <w:spacing w:line="360" w:lineRule="auto"/>
              <w:jc w:val="center"/>
              <w:rPr>
                <w:szCs w:val="21"/>
              </w:rPr>
            </w:pPr>
            <w:r>
              <w:rPr>
                <w:szCs w:val="21"/>
              </w:rPr>
              <w:t>投标保证金</w:t>
            </w:r>
          </w:p>
        </w:tc>
        <w:tc>
          <w:tcPr>
            <w:tcW w:w="5212" w:type="dxa"/>
            <w:tcBorders>
              <w:top w:val="single" w:color="auto" w:sz="4" w:space="0"/>
              <w:left w:val="single" w:color="auto" w:sz="4" w:space="0"/>
              <w:bottom w:val="single" w:color="auto" w:sz="4" w:space="0"/>
              <w:right w:val="single" w:color="auto" w:sz="4" w:space="0"/>
            </w:tcBorders>
            <w:vAlign w:val="center"/>
          </w:tcPr>
          <w:p w14:paraId="10BE283A">
            <w:pPr>
              <w:spacing w:line="360" w:lineRule="auto"/>
              <w:rPr>
                <w:szCs w:val="21"/>
              </w:rPr>
            </w:pPr>
            <w:r>
              <w:rPr>
                <w:szCs w:val="21"/>
              </w:rPr>
              <w:t>符合第二章</w:t>
            </w:r>
            <w:r>
              <w:rPr>
                <w:rFonts w:hint="eastAsia"/>
              </w:rPr>
              <w:t>“投标人须知”</w:t>
            </w:r>
          </w:p>
        </w:tc>
      </w:tr>
      <w:tr w14:paraId="564568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0129D64D">
            <w:pPr>
              <w:spacing w:line="360" w:lineRule="auto"/>
              <w:jc w:val="center"/>
              <w:rPr>
                <w:szCs w:val="21"/>
              </w:rPr>
            </w:pPr>
          </w:p>
        </w:tc>
        <w:tc>
          <w:tcPr>
            <w:tcW w:w="912" w:type="dxa"/>
            <w:vMerge w:val="continue"/>
            <w:tcBorders>
              <w:right w:val="single" w:color="auto" w:sz="4" w:space="0"/>
            </w:tcBorders>
            <w:vAlign w:val="center"/>
          </w:tcPr>
          <w:p w14:paraId="3D0EF561">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01E866EE">
            <w:pPr>
              <w:spacing w:line="360" w:lineRule="auto"/>
              <w:jc w:val="center"/>
              <w:rPr>
                <w:szCs w:val="21"/>
              </w:rPr>
            </w:pPr>
            <w:r>
              <w:rPr>
                <w:rFonts w:hint="eastAsia"/>
                <w:szCs w:val="21"/>
              </w:rPr>
              <w:t>付款方式</w:t>
            </w:r>
          </w:p>
        </w:tc>
        <w:tc>
          <w:tcPr>
            <w:tcW w:w="5212" w:type="dxa"/>
            <w:tcBorders>
              <w:top w:val="single" w:color="auto" w:sz="4" w:space="0"/>
              <w:left w:val="single" w:color="auto" w:sz="4" w:space="0"/>
              <w:bottom w:val="single" w:color="auto" w:sz="4" w:space="0"/>
              <w:right w:val="single" w:color="auto" w:sz="4" w:space="0"/>
            </w:tcBorders>
            <w:vAlign w:val="center"/>
          </w:tcPr>
          <w:p w14:paraId="4BC16B7D">
            <w:pPr>
              <w:spacing w:line="360" w:lineRule="auto"/>
              <w:rPr>
                <w:szCs w:val="21"/>
              </w:rPr>
            </w:pPr>
            <w:r>
              <w:rPr>
                <w:rFonts w:hint="eastAsia"/>
                <w:szCs w:val="21"/>
              </w:rPr>
              <w:t>符合招标文件关于付款条件的表述</w:t>
            </w:r>
          </w:p>
        </w:tc>
      </w:tr>
      <w:tr w14:paraId="1D7F58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3FCC17F8">
            <w:pPr>
              <w:spacing w:line="360" w:lineRule="auto"/>
              <w:jc w:val="center"/>
              <w:rPr>
                <w:szCs w:val="21"/>
              </w:rPr>
            </w:pPr>
          </w:p>
        </w:tc>
        <w:tc>
          <w:tcPr>
            <w:tcW w:w="912" w:type="dxa"/>
            <w:vMerge w:val="continue"/>
            <w:tcBorders>
              <w:right w:val="single" w:color="auto" w:sz="4" w:space="0"/>
            </w:tcBorders>
            <w:vAlign w:val="center"/>
          </w:tcPr>
          <w:p w14:paraId="13C06E5F">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5856EDDB">
            <w:pPr>
              <w:spacing w:line="360" w:lineRule="auto"/>
              <w:jc w:val="center"/>
              <w:rPr>
                <w:szCs w:val="21"/>
              </w:rPr>
            </w:pPr>
            <w:r>
              <w:rPr>
                <w:szCs w:val="21"/>
              </w:rPr>
              <w:t>权利义务</w:t>
            </w:r>
          </w:p>
        </w:tc>
        <w:tc>
          <w:tcPr>
            <w:tcW w:w="5212" w:type="dxa"/>
            <w:tcBorders>
              <w:top w:val="single" w:color="auto" w:sz="4" w:space="0"/>
              <w:left w:val="single" w:color="auto" w:sz="4" w:space="0"/>
              <w:bottom w:val="single" w:color="auto" w:sz="4" w:space="0"/>
              <w:right w:val="single" w:color="auto" w:sz="4" w:space="0"/>
            </w:tcBorders>
            <w:vAlign w:val="center"/>
          </w:tcPr>
          <w:p w14:paraId="19EFBF01">
            <w:pPr>
              <w:spacing w:line="360" w:lineRule="auto"/>
              <w:rPr>
                <w:szCs w:val="21"/>
              </w:rPr>
            </w:pPr>
            <w:r>
              <w:rPr>
                <w:szCs w:val="21"/>
              </w:rPr>
              <w:t>符合第四章</w:t>
            </w:r>
            <w:r>
              <w:rPr>
                <w:rFonts w:hint="eastAsia"/>
                <w:szCs w:val="21"/>
              </w:rPr>
              <w:t>“</w:t>
            </w:r>
            <w:r>
              <w:rPr>
                <w:szCs w:val="21"/>
              </w:rPr>
              <w:t>合同条款及格式</w:t>
            </w:r>
            <w:r>
              <w:rPr>
                <w:rFonts w:hint="eastAsia"/>
                <w:szCs w:val="21"/>
              </w:rPr>
              <w:t>”</w:t>
            </w:r>
            <w:r>
              <w:rPr>
                <w:szCs w:val="21"/>
              </w:rPr>
              <w:t>规定</w:t>
            </w:r>
          </w:p>
        </w:tc>
      </w:tr>
      <w:tr w14:paraId="36F80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396146D5">
            <w:pPr>
              <w:spacing w:line="360" w:lineRule="auto"/>
              <w:jc w:val="center"/>
              <w:rPr>
                <w:szCs w:val="21"/>
              </w:rPr>
            </w:pPr>
          </w:p>
        </w:tc>
        <w:tc>
          <w:tcPr>
            <w:tcW w:w="912" w:type="dxa"/>
            <w:vMerge w:val="continue"/>
            <w:tcBorders>
              <w:right w:val="single" w:color="auto" w:sz="4" w:space="0"/>
            </w:tcBorders>
            <w:vAlign w:val="center"/>
          </w:tcPr>
          <w:p w14:paraId="63E732FE">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379C1D68">
            <w:pPr>
              <w:spacing w:line="360" w:lineRule="auto"/>
              <w:jc w:val="center"/>
              <w:rPr>
                <w:szCs w:val="21"/>
              </w:rPr>
            </w:pPr>
            <w:r>
              <w:rPr>
                <w:rFonts w:hint="eastAsia"/>
                <w:szCs w:val="21"/>
              </w:rPr>
              <w:t>技术标准和要求</w:t>
            </w:r>
          </w:p>
        </w:tc>
        <w:tc>
          <w:tcPr>
            <w:tcW w:w="5212" w:type="dxa"/>
            <w:tcBorders>
              <w:top w:val="single" w:color="auto" w:sz="4" w:space="0"/>
              <w:left w:val="single" w:color="auto" w:sz="4" w:space="0"/>
              <w:bottom w:val="single" w:color="auto" w:sz="4" w:space="0"/>
              <w:right w:val="single" w:color="auto" w:sz="4" w:space="0"/>
            </w:tcBorders>
            <w:vAlign w:val="center"/>
          </w:tcPr>
          <w:p w14:paraId="7B20DE2B">
            <w:pPr>
              <w:spacing w:line="360" w:lineRule="auto"/>
              <w:rPr>
                <w:szCs w:val="21"/>
              </w:rPr>
            </w:pPr>
            <w:r>
              <w:rPr>
                <w:rFonts w:hint="eastAsia"/>
                <w:szCs w:val="21"/>
              </w:rPr>
              <w:t>符合第七章“技术标准和要求”规定</w:t>
            </w:r>
          </w:p>
        </w:tc>
      </w:tr>
      <w:tr w14:paraId="29AB6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64CE2162">
            <w:pPr>
              <w:spacing w:line="360" w:lineRule="auto"/>
              <w:jc w:val="center"/>
              <w:rPr>
                <w:szCs w:val="21"/>
              </w:rPr>
            </w:pPr>
          </w:p>
        </w:tc>
        <w:tc>
          <w:tcPr>
            <w:tcW w:w="912" w:type="dxa"/>
            <w:vMerge w:val="continue"/>
            <w:tcBorders>
              <w:right w:val="single" w:color="auto" w:sz="4" w:space="0"/>
            </w:tcBorders>
            <w:vAlign w:val="center"/>
          </w:tcPr>
          <w:p w14:paraId="52E39700">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0024B225">
            <w:pPr>
              <w:widowControl/>
              <w:spacing w:line="360" w:lineRule="auto"/>
              <w:jc w:val="center"/>
              <w:rPr>
                <w:szCs w:val="21"/>
              </w:rPr>
            </w:pPr>
            <w:r>
              <w:rPr>
                <w:rFonts w:hint="eastAsia"/>
                <w:szCs w:val="21"/>
              </w:rPr>
              <w:t>其他实质性要求</w:t>
            </w:r>
          </w:p>
        </w:tc>
        <w:tc>
          <w:tcPr>
            <w:tcW w:w="5212" w:type="dxa"/>
            <w:tcBorders>
              <w:top w:val="single" w:color="auto" w:sz="4" w:space="0"/>
              <w:left w:val="single" w:color="auto" w:sz="4" w:space="0"/>
              <w:bottom w:val="single" w:color="auto" w:sz="4" w:space="0"/>
              <w:right w:val="single" w:color="auto" w:sz="4" w:space="0"/>
            </w:tcBorders>
            <w:vAlign w:val="center"/>
          </w:tcPr>
          <w:p w14:paraId="1AD2F270">
            <w:pPr>
              <w:widowControl/>
              <w:spacing w:line="360" w:lineRule="auto"/>
              <w:jc w:val="left"/>
              <w:rPr>
                <w:szCs w:val="21"/>
              </w:rPr>
            </w:pPr>
            <w:r>
              <w:rPr>
                <w:rFonts w:hint="eastAsia"/>
                <w:szCs w:val="21"/>
              </w:rPr>
              <w:t>符合招标文件的其他实质性要求和条件</w:t>
            </w:r>
          </w:p>
        </w:tc>
      </w:tr>
      <w:tr w14:paraId="75AE91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restart"/>
            <w:tcBorders>
              <w:top w:val="single" w:color="auto" w:sz="4" w:space="0"/>
              <w:right w:val="single" w:color="auto" w:sz="4" w:space="0"/>
            </w:tcBorders>
            <w:vAlign w:val="center"/>
          </w:tcPr>
          <w:p w14:paraId="2EA682E3">
            <w:pPr>
              <w:spacing w:line="360" w:lineRule="auto"/>
              <w:jc w:val="center"/>
              <w:rPr>
                <w:szCs w:val="21"/>
              </w:rPr>
            </w:pPr>
            <w:r>
              <w:rPr>
                <w:rFonts w:hint="eastAsia"/>
                <w:szCs w:val="21"/>
              </w:rPr>
              <w:t>3</w:t>
            </w:r>
            <w:r>
              <w:rPr>
                <w:szCs w:val="21"/>
              </w:rPr>
              <w:t>.1.4</w:t>
            </w:r>
          </w:p>
        </w:tc>
        <w:tc>
          <w:tcPr>
            <w:tcW w:w="912" w:type="dxa"/>
            <w:vMerge w:val="restart"/>
            <w:tcBorders>
              <w:top w:val="single" w:color="auto" w:sz="4" w:space="0"/>
              <w:right w:val="single" w:color="auto" w:sz="4" w:space="0"/>
            </w:tcBorders>
            <w:vAlign w:val="center"/>
          </w:tcPr>
          <w:p w14:paraId="44F8111C">
            <w:pPr>
              <w:spacing w:line="360" w:lineRule="auto"/>
              <w:jc w:val="center"/>
              <w:rPr>
                <w:szCs w:val="21"/>
              </w:rPr>
            </w:pPr>
            <w:r>
              <w:rPr>
                <w:szCs w:val="21"/>
              </w:rPr>
              <w:t>施工组织设计评审标准</w:t>
            </w:r>
          </w:p>
        </w:tc>
        <w:tc>
          <w:tcPr>
            <w:tcW w:w="2168" w:type="dxa"/>
            <w:tcBorders>
              <w:top w:val="single" w:color="auto" w:sz="4" w:space="0"/>
              <w:left w:val="single" w:color="auto" w:sz="4" w:space="0"/>
              <w:bottom w:val="single" w:color="auto" w:sz="4" w:space="0"/>
              <w:right w:val="single" w:color="auto" w:sz="4" w:space="0"/>
            </w:tcBorders>
            <w:vAlign w:val="center"/>
          </w:tcPr>
          <w:p w14:paraId="7BB5466B">
            <w:pPr>
              <w:widowControl/>
              <w:snapToGrid w:val="0"/>
              <w:spacing w:line="360" w:lineRule="auto"/>
              <w:jc w:val="center"/>
              <w:rPr>
                <w:szCs w:val="21"/>
              </w:rPr>
            </w:pPr>
            <w:r>
              <w:rPr>
                <w:rFonts w:hint="eastAsia"/>
                <w:szCs w:val="21"/>
              </w:rPr>
              <w:t>1.</w:t>
            </w:r>
            <w:r>
              <w:rPr>
                <w:szCs w:val="21"/>
              </w:rPr>
              <w:t>工程概况</w:t>
            </w:r>
          </w:p>
        </w:tc>
        <w:tc>
          <w:tcPr>
            <w:tcW w:w="5212" w:type="dxa"/>
            <w:tcBorders>
              <w:top w:val="single" w:color="auto" w:sz="4" w:space="0"/>
              <w:left w:val="single" w:color="auto" w:sz="4" w:space="0"/>
              <w:bottom w:val="single" w:color="auto" w:sz="4" w:space="0"/>
              <w:right w:val="single" w:color="auto" w:sz="4" w:space="0"/>
            </w:tcBorders>
            <w:vAlign w:val="center"/>
          </w:tcPr>
          <w:p w14:paraId="745B829C">
            <w:pPr>
              <w:widowControl/>
              <w:snapToGrid w:val="0"/>
              <w:spacing w:line="360" w:lineRule="auto"/>
              <w:jc w:val="left"/>
              <w:rPr>
                <w:szCs w:val="21"/>
              </w:rPr>
            </w:pPr>
            <w:r>
              <w:rPr>
                <w:szCs w:val="21"/>
              </w:rPr>
              <w:t>描述准确</w:t>
            </w:r>
          </w:p>
        </w:tc>
      </w:tr>
      <w:tr w14:paraId="372F1B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4519A4E6">
            <w:pPr>
              <w:spacing w:line="360" w:lineRule="auto"/>
              <w:jc w:val="center"/>
              <w:rPr>
                <w:szCs w:val="21"/>
              </w:rPr>
            </w:pPr>
          </w:p>
        </w:tc>
        <w:tc>
          <w:tcPr>
            <w:tcW w:w="912" w:type="dxa"/>
            <w:vMerge w:val="continue"/>
            <w:tcBorders>
              <w:right w:val="single" w:color="auto" w:sz="4" w:space="0"/>
            </w:tcBorders>
            <w:vAlign w:val="center"/>
          </w:tcPr>
          <w:p w14:paraId="03D7F00A">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0E205301">
            <w:pPr>
              <w:widowControl/>
              <w:snapToGrid w:val="0"/>
              <w:spacing w:line="360" w:lineRule="auto"/>
              <w:jc w:val="center"/>
              <w:rPr>
                <w:szCs w:val="21"/>
              </w:rPr>
            </w:pPr>
            <w:r>
              <w:rPr>
                <w:rFonts w:hint="eastAsia"/>
                <w:szCs w:val="21"/>
              </w:rPr>
              <w:t>2.</w:t>
            </w:r>
            <w:r>
              <w:rPr>
                <w:szCs w:val="21"/>
              </w:rPr>
              <w:t>主要施工</w:t>
            </w:r>
            <w:r>
              <w:rPr>
                <w:rFonts w:hint="eastAsia"/>
                <w:szCs w:val="21"/>
              </w:rPr>
              <w:t>方案与技术措施</w:t>
            </w:r>
          </w:p>
        </w:tc>
        <w:tc>
          <w:tcPr>
            <w:tcW w:w="5212" w:type="dxa"/>
            <w:tcBorders>
              <w:top w:val="single" w:color="auto" w:sz="4" w:space="0"/>
              <w:left w:val="single" w:color="auto" w:sz="4" w:space="0"/>
              <w:bottom w:val="single" w:color="auto" w:sz="4" w:space="0"/>
              <w:right w:val="single" w:color="auto" w:sz="4" w:space="0"/>
            </w:tcBorders>
            <w:vAlign w:val="center"/>
          </w:tcPr>
          <w:p w14:paraId="091CF6A7">
            <w:pPr>
              <w:widowControl/>
              <w:snapToGrid w:val="0"/>
              <w:spacing w:line="360" w:lineRule="auto"/>
              <w:jc w:val="left"/>
              <w:rPr>
                <w:szCs w:val="21"/>
              </w:rPr>
            </w:pPr>
            <w:r>
              <w:rPr>
                <w:szCs w:val="21"/>
              </w:rPr>
              <w:t>各主要分部施工方法符合项目实际，须有详尽的施工方案</w:t>
            </w:r>
            <w:r>
              <w:rPr>
                <w:rFonts w:hint="eastAsia"/>
                <w:szCs w:val="21"/>
              </w:rPr>
              <w:t>与技术措施</w:t>
            </w:r>
            <w:r>
              <w:rPr>
                <w:szCs w:val="21"/>
              </w:rPr>
              <w:t>，工艺先进、方法科学合理、可行，能指导具体施工并确保安全</w:t>
            </w:r>
          </w:p>
        </w:tc>
      </w:tr>
      <w:tr w14:paraId="0103B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2539AF8E">
            <w:pPr>
              <w:spacing w:line="360" w:lineRule="auto"/>
              <w:jc w:val="center"/>
              <w:rPr>
                <w:szCs w:val="21"/>
              </w:rPr>
            </w:pPr>
          </w:p>
        </w:tc>
        <w:tc>
          <w:tcPr>
            <w:tcW w:w="912" w:type="dxa"/>
            <w:vMerge w:val="continue"/>
            <w:tcBorders>
              <w:right w:val="single" w:color="auto" w:sz="4" w:space="0"/>
            </w:tcBorders>
            <w:vAlign w:val="center"/>
          </w:tcPr>
          <w:p w14:paraId="31109C39">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6546150A">
            <w:pPr>
              <w:widowControl/>
              <w:snapToGrid w:val="0"/>
              <w:spacing w:line="360" w:lineRule="auto"/>
              <w:jc w:val="center"/>
              <w:rPr>
                <w:szCs w:val="21"/>
              </w:rPr>
            </w:pPr>
            <w:r>
              <w:rPr>
                <w:rFonts w:hint="eastAsia"/>
                <w:szCs w:val="21"/>
              </w:rPr>
              <w:t>3.</w:t>
            </w:r>
            <w:r>
              <w:rPr>
                <w:szCs w:val="21"/>
              </w:rPr>
              <w:t>主要物资</w:t>
            </w:r>
            <w:r>
              <w:rPr>
                <w:rFonts w:hint="eastAsia"/>
                <w:szCs w:val="21"/>
              </w:rPr>
              <w:t>供应</w:t>
            </w:r>
            <w:r>
              <w:rPr>
                <w:szCs w:val="21"/>
              </w:rPr>
              <w:t>计划</w:t>
            </w:r>
          </w:p>
        </w:tc>
        <w:tc>
          <w:tcPr>
            <w:tcW w:w="5212" w:type="dxa"/>
            <w:tcBorders>
              <w:top w:val="single" w:color="auto" w:sz="4" w:space="0"/>
              <w:left w:val="single" w:color="auto" w:sz="4" w:space="0"/>
              <w:bottom w:val="single" w:color="auto" w:sz="4" w:space="0"/>
              <w:right w:val="single" w:color="auto" w:sz="4" w:space="0"/>
            </w:tcBorders>
            <w:vAlign w:val="center"/>
          </w:tcPr>
          <w:p w14:paraId="4CA214C5">
            <w:pPr>
              <w:widowControl/>
              <w:snapToGrid w:val="0"/>
              <w:spacing w:line="360" w:lineRule="auto"/>
              <w:jc w:val="left"/>
              <w:rPr>
                <w:szCs w:val="21"/>
              </w:rPr>
            </w:pPr>
            <w:r>
              <w:rPr>
                <w:szCs w:val="21"/>
              </w:rPr>
              <w:t>投入的施工材料有详细计划且计划周密，数量、选型配置、进场数量、时间安排合理，满足施工需要</w:t>
            </w:r>
          </w:p>
        </w:tc>
      </w:tr>
      <w:tr w14:paraId="30AFC2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06BFBA81">
            <w:pPr>
              <w:spacing w:line="360" w:lineRule="auto"/>
              <w:jc w:val="center"/>
              <w:rPr>
                <w:szCs w:val="21"/>
              </w:rPr>
            </w:pPr>
          </w:p>
        </w:tc>
        <w:tc>
          <w:tcPr>
            <w:tcW w:w="912" w:type="dxa"/>
            <w:vMerge w:val="continue"/>
            <w:tcBorders>
              <w:right w:val="single" w:color="auto" w:sz="4" w:space="0"/>
            </w:tcBorders>
            <w:vAlign w:val="center"/>
          </w:tcPr>
          <w:p w14:paraId="04629F24">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567FD080">
            <w:pPr>
              <w:widowControl/>
              <w:snapToGrid w:val="0"/>
              <w:spacing w:line="360" w:lineRule="auto"/>
              <w:jc w:val="center"/>
              <w:rPr>
                <w:szCs w:val="21"/>
              </w:rPr>
            </w:pPr>
            <w:r>
              <w:rPr>
                <w:rFonts w:hint="eastAsia"/>
                <w:szCs w:val="21"/>
              </w:rPr>
              <w:t>4.</w:t>
            </w:r>
            <w:r>
              <w:rPr>
                <w:szCs w:val="21"/>
              </w:rPr>
              <w:t>主要施工机械、设备</w:t>
            </w:r>
            <w:r>
              <w:rPr>
                <w:rFonts w:hint="eastAsia"/>
                <w:szCs w:val="21"/>
              </w:rPr>
              <w:t>进场</w:t>
            </w:r>
            <w:r>
              <w:rPr>
                <w:szCs w:val="21"/>
              </w:rPr>
              <w:t>计划</w:t>
            </w:r>
          </w:p>
        </w:tc>
        <w:tc>
          <w:tcPr>
            <w:tcW w:w="5212" w:type="dxa"/>
            <w:tcBorders>
              <w:top w:val="single" w:color="auto" w:sz="4" w:space="0"/>
              <w:left w:val="single" w:color="auto" w:sz="4" w:space="0"/>
              <w:bottom w:val="single" w:color="auto" w:sz="4" w:space="0"/>
              <w:right w:val="single" w:color="auto" w:sz="4" w:space="0"/>
            </w:tcBorders>
            <w:vAlign w:val="center"/>
          </w:tcPr>
          <w:p w14:paraId="006EAB56">
            <w:pPr>
              <w:widowControl/>
              <w:snapToGrid w:val="0"/>
              <w:spacing w:line="360" w:lineRule="auto"/>
              <w:jc w:val="left"/>
              <w:rPr>
                <w:szCs w:val="21"/>
              </w:rPr>
            </w:pPr>
            <w:r>
              <w:rPr>
                <w:szCs w:val="21"/>
              </w:rPr>
              <w:t>投入的施工机械、设备、机具有详细计划且计划周密，设备数量、选型配置、进场数量、时间安排合理，满足施工需要</w:t>
            </w:r>
          </w:p>
        </w:tc>
      </w:tr>
      <w:tr w14:paraId="13F7E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61C6AF66">
            <w:pPr>
              <w:spacing w:line="360" w:lineRule="auto"/>
              <w:jc w:val="center"/>
              <w:rPr>
                <w:szCs w:val="21"/>
              </w:rPr>
            </w:pPr>
          </w:p>
        </w:tc>
        <w:tc>
          <w:tcPr>
            <w:tcW w:w="912" w:type="dxa"/>
            <w:vMerge w:val="continue"/>
            <w:tcBorders>
              <w:right w:val="single" w:color="auto" w:sz="4" w:space="0"/>
            </w:tcBorders>
            <w:vAlign w:val="center"/>
          </w:tcPr>
          <w:p w14:paraId="1E43D926">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2BEE56FB">
            <w:pPr>
              <w:widowControl/>
              <w:snapToGrid w:val="0"/>
              <w:spacing w:line="360" w:lineRule="auto"/>
              <w:jc w:val="center"/>
              <w:rPr>
                <w:szCs w:val="21"/>
              </w:rPr>
            </w:pPr>
            <w:r>
              <w:rPr>
                <w:rFonts w:hint="eastAsia"/>
                <w:szCs w:val="21"/>
              </w:rPr>
              <w:t>5.</w:t>
            </w:r>
            <w:r>
              <w:rPr>
                <w:szCs w:val="21"/>
              </w:rPr>
              <w:t>劳动力安排计划</w:t>
            </w:r>
          </w:p>
        </w:tc>
        <w:tc>
          <w:tcPr>
            <w:tcW w:w="5212" w:type="dxa"/>
            <w:tcBorders>
              <w:top w:val="single" w:color="auto" w:sz="4" w:space="0"/>
              <w:left w:val="single" w:color="auto" w:sz="4" w:space="0"/>
              <w:bottom w:val="single" w:color="auto" w:sz="4" w:space="0"/>
              <w:right w:val="single" w:color="auto" w:sz="4" w:space="0"/>
            </w:tcBorders>
            <w:vAlign w:val="center"/>
          </w:tcPr>
          <w:p w14:paraId="718B9C4B">
            <w:pPr>
              <w:widowControl/>
              <w:snapToGrid w:val="0"/>
              <w:spacing w:line="360" w:lineRule="auto"/>
              <w:jc w:val="left"/>
              <w:rPr>
                <w:szCs w:val="21"/>
              </w:rPr>
            </w:pPr>
            <w:r>
              <w:rPr>
                <w:szCs w:val="21"/>
              </w:rPr>
              <w:t>各主要施工工序应有详细周密的劳动力安排计划明细，有各工种劳动力安排计划，劳动力投入经济合理，满足施工需要</w:t>
            </w:r>
          </w:p>
        </w:tc>
      </w:tr>
      <w:tr w14:paraId="70EDC2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27E09CAB">
            <w:pPr>
              <w:spacing w:line="360" w:lineRule="auto"/>
              <w:jc w:val="center"/>
              <w:rPr>
                <w:szCs w:val="21"/>
              </w:rPr>
            </w:pPr>
          </w:p>
        </w:tc>
        <w:tc>
          <w:tcPr>
            <w:tcW w:w="912" w:type="dxa"/>
            <w:vMerge w:val="continue"/>
            <w:tcBorders>
              <w:right w:val="single" w:color="auto" w:sz="4" w:space="0"/>
            </w:tcBorders>
            <w:vAlign w:val="center"/>
          </w:tcPr>
          <w:p w14:paraId="6EE711CD">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1A2E2D4">
            <w:pPr>
              <w:widowControl/>
              <w:snapToGrid w:val="0"/>
              <w:spacing w:line="360" w:lineRule="auto"/>
              <w:jc w:val="center"/>
              <w:rPr>
                <w:szCs w:val="21"/>
              </w:rPr>
            </w:pPr>
            <w:r>
              <w:rPr>
                <w:rFonts w:hint="eastAsia"/>
                <w:szCs w:val="21"/>
              </w:rPr>
              <w:t>6.</w:t>
            </w:r>
            <w:r>
              <w:rPr>
                <w:szCs w:val="21"/>
              </w:rPr>
              <w:t>确保工程质量的技术组织措施</w:t>
            </w:r>
          </w:p>
        </w:tc>
        <w:tc>
          <w:tcPr>
            <w:tcW w:w="5212" w:type="dxa"/>
            <w:tcBorders>
              <w:top w:val="single" w:color="auto" w:sz="4" w:space="0"/>
              <w:left w:val="single" w:color="auto" w:sz="4" w:space="0"/>
              <w:bottom w:val="single" w:color="auto" w:sz="4" w:space="0"/>
              <w:right w:val="single" w:color="auto" w:sz="4" w:space="0"/>
            </w:tcBorders>
            <w:vAlign w:val="center"/>
          </w:tcPr>
          <w:p w14:paraId="50E4B482">
            <w:pPr>
              <w:widowControl/>
              <w:snapToGrid w:val="0"/>
              <w:spacing w:line="360" w:lineRule="auto"/>
              <w:jc w:val="left"/>
              <w:rPr>
                <w:szCs w:val="21"/>
              </w:rPr>
            </w:pPr>
            <w:r>
              <w:rPr>
                <w:szCs w:val="21"/>
              </w:rPr>
              <w:t>施工项目应有专门的质量技术管理班子和制度，且人员配备合理，制度健全。主要工序应有质量技术保证措施和手段，自控体系完整，能有效保证技术质量，达到承诺的质量标准</w:t>
            </w:r>
          </w:p>
        </w:tc>
      </w:tr>
      <w:tr w14:paraId="050416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6C54622A">
            <w:pPr>
              <w:spacing w:line="360" w:lineRule="auto"/>
              <w:jc w:val="center"/>
              <w:rPr>
                <w:szCs w:val="21"/>
              </w:rPr>
            </w:pPr>
          </w:p>
        </w:tc>
        <w:tc>
          <w:tcPr>
            <w:tcW w:w="912" w:type="dxa"/>
            <w:vMerge w:val="continue"/>
            <w:tcBorders>
              <w:right w:val="single" w:color="auto" w:sz="4" w:space="0"/>
            </w:tcBorders>
            <w:vAlign w:val="center"/>
          </w:tcPr>
          <w:p w14:paraId="7C46C430">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41E16B09">
            <w:pPr>
              <w:widowControl/>
              <w:snapToGrid w:val="0"/>
              <w:spacing w:line="360" w:lineRule="auto"/>
              <w:jc w:val="center"/>
              <w:rPr>
                <w:szCs w:val="21"/>
              </w:rPr>
            </w:pPr>
            <w:r>
              <w:rPr>
                <w:rFonts w:hint="eastAsia"/>
                <w:szCs w:val="21"/>
              </w:rPr>
              <w:t>7.</w:t>
            </w:r>
            <w:r>
              <w:rPr>
                <w:szCs w:val="21"/>
              </w:rPr>
              <w:t>确保安全生产的技术组织措施</w:t>
            </w:r>
          </w:p>
        </w:tc>
        <w:tc>
          <w:tcPr>
            <w:tcW w:w="5212" w:type="dxa"/>
            <w:tcBorders>
              <w:top w:val="single" w:color="auto" w:sz="4" w:space="0"/>
              <w:left w:val="single" w:color="auto" w:sz="4" w:space="0"/>
              <w:bottom w:val="single" w:color="auto" w:sz="4" w:space="0"/>
              <w:right w:val="single" w:color="auto" w:sz="4" w:space="0"/>
            </w:tcBorders>
            <w:vAlign w:val="center"/>
          </w:tcPr>
          <w:p w14:paraId="7FD40D03">
            <w:pPr>
              <w:widowControl/>
              <w:snapToGrid w:val="0"/>
              <w:spacing w:line="360" w:lineRule="auto"/>
              <w:jc w:val="left"/>
              <w:rPr>
                <w:szCs w:val="21"/>
              </w:rPr>
            </w:pPr>
            <w:r>
              <w:rPr>
                <w:szCs w:val="21"/>
              </w:rPr>
              <w:t>施工项目应有专门的安全管理人员和制度，且人员配备合理，制度健全，各道工序安全技术措施针对性强，符合实际且满足有关安全技术标准要求。现场防火、社会治安安全措施得力</w:t>
            </w:r>
          </w:p>
        </w:tc>
      </w:tr>
      <w:tr w14:paraId="0A8A3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08E55072">
            <w:pPr>
              <w:spacing w:line="360" w:lineRule="auto"/>
              <w:jc w:val="center"/>
              <w:rPr>
                <w:szCs w:val="21"/>
              </w:rPr>
            </w:pPr>
          </w:p>
        </w:tc>
        <w:tc>
          <w:tcPr>
            <w:tcW w:w="912" w:type="dxa"/>
            <w:vMerge w:val="continue"/>
            <w:tcBorders>
              <w:right w:val="single" w:color="auto" w:sz="4" w:space="0"/>
            </w:tcBorders>
            <w:vAlign w:val="center"/>
          </w:tcPr>
          <w:p w14:paraId="604BE819">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5B13FA3F">
            <w:pPr>
              <w:widowControl/>
              <w:snapToGrid w:val="0"/>
              <w:spacing w:line="360" w:lineRule="auto"/>
              <w:jc w:val="center"/>
              <w:rPr>
                <w:szCs w:val="21"/>
              </w:rPr>
            </w:pPr>
            <w:r>
              <w:rPr>
                <w:rFonts w:hint="eastAsia"/>
                <w:szCs w:val="21"/>
              </w:rPr>
              <w:t>8.</w:t>
            </w:r>
            <w:r>
              <w:rPr>
                <w:szCs w:val="21"/>
              </w:rPr>
              <w:t>确保工期的技术组织措施</w:t>
            </w:r>
          </w:p>
        </w:tc>
        <w:tc>
          <w:tcPr>
            <w:tcW w:w="5212" w:type="dxa"/>
            <w:tcBorders>
              <w:top w:val="single" w:color="auto" w:sz="4" w:space="0"/>
              <w:left w:val="single" w:color="auto" w:sz="4" w:space="0"/>
              <w:bottom w:val="single" w:color="auto" w:sz="4" w:space="0"/>
              <w:right w:val="single" w:color="auto" w:sz="4" w:space="0"/>
            </w:tcBorders>
            <w:vAlign w:val="center"/>
          </w:tcPr>
          <w:p w14:paraId="287423B2">
            <w:pPr>
              <w:widowControl/>
              <w:snapToGrid w:val="0"/>
              <w:spacing w:line="360" w:lineRule="auto"/>
              <w:jc w:val="left"/>
              <w:rPr>
                <w:szCs w:val="21"/>
              </w:rPr>
            </w:pPr>
            <w:r>
              <w:rPr>
                <w:szCs w:val="21"/>
              </w:rPr>
              <w:t>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tc>
      </w:tr>
      <w:tr w14:paraId="3FF60E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728EE4BE">
            <w:pPr>
              <w:spacing w:line="360" w:lineRule="auto"/>
              <w:jc w:val="center"/>
              <w:rPr>
                <w:szCs w:val="21"/>
              </w:rPr>
            </w:pPr>
          </w:p>
        </w:tc>
        <w:tc>
          <w:tcPr>
            <w:tcW w:w="912" w:type="dxa"/>
            <w:vMerge w:val="continue"/>
            <w:tcBorders>
              <w:right w:val="single" w:color="auto" w:sz="4" w:space="0"/>
            </w:tcBorders>
            <w:vAlign w:val="center"/>
          </w:tcPr>
          <w:p w14:paraId="6EEA3E16">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2B5CD5F1">
            <w:pPr>
              <w:widowControl/>
              <w:snapToGrid w:val="0"/>
              <w:spacing w:line="360" w:lineRule="auto"/>
              <w:jc w:val="center"/>
              <w:rPr>
                <w:szCs w:val="21"/>
              </w:rPr>
            </w:pPr>
            <w:r>
              <w:rPr>
                <w:rFonts w:hint="eastAsia"/>
                <w:szCs w:val="21"/>
              </w:rPr>
              <w:t>9.</w:t>
            </w:r>
            <w:r>
              <w:rPr>
                <w:szCs w:val="21"/>
              </w:rPr>
              <w:t>确保文明施工的技术组织措施</w:t>
            </w:r>
          </w:p>
        </w:tc>
        <w:tc>
          <w:tcPr>
            <w:tcW w:w="5212" w:type="dxa"/>
            <w:tcBorders>
              <w:top w:val="single" w:color="auto" w:sz="4" w:space="0"/>
              <w:left w:val="single" w:color="auto" w:sz="4" w:space="0"/>
              <w:bottom w:val="single" w:color="auto" w:sz="4" w:space="0"/>
              <w:right w:val="single" w:color="auto" w:sz="4" w:space="0"/>
            </w:tcBorders>
            <w:vAlign w:val="center"/>
          </w:tcPr>
          <w:p w14:paraId="23885372">
            <w:pPr>
              <w:widowControl/>
              <w:snapToGrid w:val="0"/>
              <w:spacing w:line="360" w:lineRule="auto"/>
              <w:jc w:val="left"/>
              <w:rPr>
                <w:szCs w:val="21"/>
              </w:rPr>
            </w:pPr>
            <w:r>
              <w:rPr>
                <w:szCs w:val="21"/>
              </w:rPr>
              <w:t>针对本工程项目特点，应有现场文明施工计划，环境保护措施，且计划措施内容应达到“安全文明示范工地”标准。各项措施周全、具体、有效。有具体实现现场文明施工目标的承诺。</w:t>
            </w:r>
          </w:p>
        </w:tc>
      </w:tr>
      <w:tr w14:paraId="4C8F5F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5D987A9B">
            <w:pPr>
              <w:spacing w:line="360" w:lineRule="auto"/>
              <w:jc w:val="center"/>
              <w:rPr>
                <w:szCs w:val="21"/>
              </w:rPr>
            </w:pPr>
          </w:p>
        </w:tc>
        <w:tc>
          <w:tcPr>
            <w:tcW w:w="912" w:type="dxa"/>
            <w:vMerge w:val="continue"/>
            <w:tcBorders>
              <w:right w:val="single" w:color="auto" w:sz="4" w:space="0"/>
            </w:tcBorders>
            <w:vAlign w:val="center"/>
          </w:tcPr>
          <w:p w14:paraId="3DA4682C">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673D2DFC">
            <w:pPr>
              <w:widowControl/>
              <w:snapToGrid w:val="0"/>
              <w:spacing w:line="360" w:lineRule="auto"/>
              <w:jc w:val="center"/>
              <w:rPr>
                <w:szCs w:val="21"/>
              </w:rPr>
            </w:pPr>
            <w:r>
              <w:rPr>
                <w:rFonts w:hint="eastAsia"/>
                <w:szCs w:val="21"/>
              </w:rPr>
              <w:t>10.</w:t>
            </w:r>
            <w:r>
              <w:rPr>
                <w:szCs w:val="21"/>
              </w:rPr>
              <w:t>施工总平面布置图</w:t>
            </w:r>
          </w:p>
        </w:tc>
        <w:tc>
          <w:tcPr>
            <w:tcW w:w="5212" w:type="dxa"/>
            <w:tcBorders>
              <w:top w:val="single" w:color="auto" w:sz="4" w:space="0"/>
              <w:left w:val="single" w:color="auto" w:sz="4" w:space="0"/>
              <w:bottom w:val="single" w:color="auto" w:sz="4" w:space="0"/>
              <w:right w:val="single" w:color="auto" w:sz="4" w:space="0"/>
            </w:tcBorders>
            <w:vAlign w:val="center"/>
          </w:tcPr>
          <w:p w14:paraId="3119F9C2">
            <w:pPr>
              <w:widowControl/>
              <w:snapToGrid w:val="0"/>
              <w:spacing w:line="360" w:lineRule="auto"/>
              <w:jc w:val="left"/>
              <w:rPr>
                <w:szCs w:val="21"/>
              </w:rPr>
            </w:pPr>
            <w:r>
              <w:rPr>
                <w:szCs w:val="21"/>
              </w:rPr>
              <w:t>应有施工总平面布置图，安排科学合理，符合本项目施工实际要求</w:t>
            </w:r>
          </w:p>
        </w:tc>
      </w:tr>
      <w:tr w14:paraId="17A14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335BB4AF">
            <w:pPr>
              <w:spacing w:line="360" w:lineRule="auto"/>
              <w:jc w:val="center"/>
              <w:rPr>
                <w:szCs w:val="21"/>
              </w:rPr>
            </w:pPr>
          </w:p>
        </w:tc>
        <w:tc>
          <w:tcPr>
            <w:tcW w:w="912" w:type="dxa"/>
            <w:vMerge w:val="continue"/>
            <w:tcBorders>
              <w:right w:val="single" w:color="auto" w:sz="4" w:space="0"/>
            </w:tcBorders>
            <w:vAlign w:val="center"/>
          </w:tcPr>
          <w:p w14:paraId="602F7CA8">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18CE2621">
            <w:pPr>
              <w:widowControl/>
              <w:snapToGrid w:val="0"/>
              <w:spacing w:line="360" w:lineRule="auto"/>
              <w:jc w:val="center"/>
              <w:rPr>
                <w:szCs w:val="21"/>
              </w:rPr>
            </w:pPr>
            <w:r>
              <w:rPr>
                <w:rFonts w:hint="eastAsia"/>
                <w:szCs w:val="21"/>
              </w:rPr>
              <w:t>11.</w:t>
            </w:r>
            <w:r>
              <w:rPr>
                <w:szCs w:val="21"/>
              </w:rPr>
              <w:t>重点、难点</w:t>
            </w:r>
          </w:p>
        </w:tc>
        <w:tc>
          <w:tcPr>
            <w:tcW w:w="5212" w:type="dxa"/>
            <w:tcBorders>
              <w:top w:val="single" w:color="auto" w:sz="4" w:space="0"/>
              <w:left w:val="single" w:color="auto" w:sz="4" w:space="0"/>
              <w:bottom w:val="single" w:color="auto" w:sz="4" w:space="0"/>
              <w:right w:val="single" w:color="auto" w:sz="4" w:space="0"/>
            </w:tcBorders>
            <w:vAlign w:val="center"/>
          </w:tcPr>
          <w:p w14:paraId="37998573">
            <w:pPr>
              <w:widowControl/>
              <w:snapToGrid w:val="0"/>
              <w:spacing w:line="360" w:lineRule="auto"/>
              <w:jc w:val="left"/>
              <w:rPr>
                <w:szCs w:val="21"/>
              </w:rPr>
            </w:pPr>
            <w:r>
              <w:rPr>
                <w:szCs w:val="21"/>
              </w:rPr>
              <w:t>满足招标文件前附表重难点要求，应单独成章，可以根据投标人理解另行增加内容</w:t>
            </w:r>
          </w:p>
        </w:tc>
      </w:tr>
      <w:tr w14:paraId="7BE723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225B5612">
            <w:pPr>
              <w:spacing w:line="360" w:lineRule="auto"/>
              <w:jc w:val="center"/>
              <w:rPr>
                <w:szCs w:val="21"/>
              </w:rPr>
            </w:pPr>
          </w:p>
        </w:tc>
        <w:tc>
          <w:tcPr>
            <w:tcW w:w="912" w:type="dxa"/>
            <w:vMerge w:val="continue"/>
            <w:tcBorders>
              <w:right w:val="single" w:color="auto" w:sz="4" w:space="0"/>
            </w:tcBorders>
            <w:vAlign w:val="center"/>
          </w:tcPr>
          <w:p w14:paraId="2501A597">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4B3A5C69">
            <w:pPr>
              <w:widowControl/>
              <w:snapToGrid w:val="0"/>
              <w:spacing w:line="360" w:lineRule="auto"/>
              <w:jc w:val="center"/>
              <w:rPr>
                <w:szCs w:val="21"/>
              </w:rPr>
            </w:pPr>
            <w:r>
              <w:rPr>
                <w:rFonts w:hint="eastAsia"/>
                <w:szCs w:val="21"/>
              </w:rPr>
              <w:t>12.危大工程安全管理</w:t>
            </w:r>
          </w:p>
        </w:tc>
        <w:tc>
          <w:tcPr>
            <w:tcW w:w="5212" w:type="dxa"/>
            <w:tcBorders>
              <w:top w:val="single" w:color="auto" w:sz="4" w:space="0"/>
              <w:left w:val="single" w:color="auto" w:sz="4" w:space="0"/>
              <w:bottom w:val="single" w:color="auto" w:sz="4" w:space="0"/>
              <w:right w:val="single" w:color="auto" w:sz="4" w:space="0"/>
            </w:tcBorders>
            <w:vAlign w:val="center"/>
          </w:tcPr>
          <w:p w14:paraId="18F7F7B9">
            <w:pPr>
              <w:widowControl/>
              <w:snapToGrid w:val="0"/>
              <w:spacing w:line="360" w:lineRule="auto"/>
              <w:jc w:val="left"/>
              <w:rPr>
                <w:szCs w:val="21"/>
              </w:rPr>
            </w:pPr>
            <w:r>
              <w:rPr>
                <w:rFonts w:hint="eastAsia"/>
                <w:szCs w:val="21"/>
              </w:rPr>
              <w:t>根据招标人在招标文件中列明的危大工程清单及结合招标项目实际情况补充完善危大工程清单，编制专项施工方案并明确相应的安全管理措施</w:t>
            </w:r>
          </w:p>
        </w:tc>
      </w:tr>
      <w:tr w14:paraId="05BF8E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right w:val="single" w:color="auto" w:sz="4" w:space="0"/>
            </w:tcBorders>
            <w:vAlign w:val="center"/>
          </w:tcPr>
          <w:p w14:paraId="6D5A7CB6">
            <w:pPr>
              <w:spacing w:line="360" w:lineRule="auto"/>
              <w:jc w:val="center"/>
              <w:rPr>
                <w:szCs w:val="21"/>
              </w:rPr>
            </w:pPr>
          </w:p>
        </w:tc>
        <w:tc>
          <w:tcPr>
            <w:tcW w:w="912" w:type="dxa"/>
            <w:vMerge w:val="continue"/>
            <w:tcBorders>
              <w:right w:val="single" w:color="auto" w:sz="4" w:space="0"/>
            </w:tcBorders>
            <w:vAlign w:val="center"/>
          </w:tcPr>
          <w:p w14:paraId="436F39BE">
            <w:pPr>
              <w:spacing w:line="360" w:lineRule="auto"/>
              <w:jc w:val="center"/>
              <w:rPr>
                <w:szCs w:val="21"/>
              </w:rPr>
            </w:pPr>
          </w:p>
        </w:tc>
        <w:tc>
          <w:tcPr>
            <w:tcW w:w="2168" w:type="dxa"/>
            <w:tcBorders>
              <w:top w:val="single" w:color="auto" w:sz="4" w:space="0"/>
              <w:left w:val="single" w:color="auto" w:sz="4" w:space="0"/>
              <w:bottom w:val="single" w:color="auto" w:sz="4" w:space="0"/>
              <w:right w:val="single" w:color="auto" w:sz="4" w:space="0"/>
            </w:tcBorders>
            <w:vAlign w:val="center"/>
          </w:tcPr>
          <w:p w14:paraId="1D070FF5">
            <w:pPr>
              <w:spacing w:line="360" w:lineRule="auto"/>
              <w:jc w:val="center"/>
              <w:rPr>
                <w:color w:val="0070C0"/>
                <w:szCs w:val="21"/>
              </w:rPr>
            </w:pPr>
            <w:r>
              <w:rPr>
                <w:rFonts w:hint="eastAsia"/>
                <w:bCs/>
                <w:snapToGrid w:val="0"/>
                <w:kern w:val="0"/>
                <w:szCs w:val="21"/>
              </w:rPr>
              <w:t>……</w:t>
            </w:r>
          </w:p>
        </w:tc>
        <w:tc>
          <w:tcPr>
            <w:tcW w:w="5212" w:type="dxa"/>
            <w:tcBorders>
              <w:top w:val="single" w:color="auto" w:sz="4" w:space="0"/>
              <w:left w:val="single" w:color="auto" w:sz="4" w:space="0"/>
              <w:bottom w:val="single" w:color="auto" w:sz="4" w:space="0"/>
              <w:right w:val="single" w:color="auto" w:sz="4" w:space="0"/>
            </w:tcBorders>
            <w:vAlign w:val="center"/>
          </w:tcPr>
          <w:p w14:paraId="32FBECFE">
            <w:pPr>
              <w:spacing w:line="360" w:lineRule="auto"/>
              <w:jc w:val="center"/>
              <w:rPr>
                <w:color w:val="0070C0"/>
                <w:szCs w:val="21"/>
              </w:rPr>
            </w:pPr>
            <w:r>
              <w:rPr>
                <w:rFonts w:hint="eastAsia"/>
                <w:bCs/>
                <w:snapToGrid w:val="0"/>
                <w:kern w:val="0"/>
                <w:szCs w:val="21"/>
              </w:rPr>
              <w:t>……</w:t>
            </w:r>
          </w:p>
        </w:tc>
      </w:tr>
      <w:tr w14:paraId="20DDD8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636" w:type="dxa"/>
            <w:vMerge w:val="continue"/>
            <w:tcBorders>
              <w:bottom w:val="single" w:color="auto" w:sz="4" w:space="0"/>
              <w:right w:val="single" w:color="auto" w:sz="4" w:space="0"/>
            </w:tcBorders>
            <w:vAlign w:val="center"/>
          </w:tcPr>
          <w:p w14:paraId="20CDE0D1">
            <w:pPr>
              <w:spacing w:line="360" w:lineRule="auto"/>
              <w:jc w:val="center"/>
              <w:rPr>
                <w:szCs w:val="21"/>
              </w:rPr>
            </w:pPr>
          </w:p>
        </w:tc>
        <w:tc>
          <w:tcPr>
            <w:tcW w:w="912" w:type="dxa"/>
            <w:vMerge w:val="continue"/>
            <w:tcBorders>
              <w:bottom w:val="single" w:color="auto" w:sz="4" w:space="0"/>
              <w:right w:val="single" w:color="auto" w:sz="4" w:space="0"/>
            </w:tcBorders>
            <w:vAlign w:val="center"/>
          </w:tcPr>
          <w:p w14:paraId="153680FA">
            <w:pPr>
              <w:spacing w:line="360" w:lineRule="auto"/>
              <w:jc w:val="center"/>
              <w:rPr>
                <w:szCs w:val="21"/>
              </w:rPr>
            </w:pPr>
          </w:p>
        </w:tc>
        <w:tc>
          <w:tcPr>
            <w:tcW w:w="7380" w:type="dxa"/>
            <w:gridSpan w:val="2"/>
            <w:tcBorders>
              <w:top w:val="single" w:color="auto" w:sz="4" w:space="0"/>
              <w:left w:val="single" w:color="auto" w:sz="4" w:space="0"/>
              <w:bottom w:val="single" w:color="auto" w:sz="4" w:space="0"/>
              <w:right w:val="single" w:color="auto" w:sz="4" w:space="0"/>
            </w:tcBorders>
            <w:vAlign w:val="center"/>
          </w:tcPr>
          <w:p w14:paraId="66FEC27F">
            <w:pPr>
              <w:spacing w:line="360" w:lineRule="auto"/>
              <w:jc w:val="left"/>
              <w:rPr>
                <w:b/>
                <w:szCs w:val="21"/>
              </w:rPr>
            </w:pPr>
            <w:r>
              <w:rPr>
                <w:rFonts w:hint="eastAsia"/>
                <w:b/>
                <w:szCs w:val="21"/>
              </w:rPr>
              <w:t>说明：以上“3.1.4</w:t>
            </w:r>
            <w:r>
              <w:rPr>
                <w:b/>
                <w:szCs w:val="21"/>
              </w:rPr>
              <w:t>施工组织设计评审标准</w:t>
            </w:r>
            <w:r>
              <w:rPr>
                <w:rFonts w:hint="eastAsia"/>
                <w:b/>
                <w:szCs w:val="21"/>
              </w:rPr>
              <w:t>”评审因素中第</w:t>
            </w:r>
            <w:r>
              <w:rPr>
                <w:rFonts w:hint="eastAsia"/>
                <w:b/>
                <w:szCs w:val="21"/>
                <w:u w:val="single"/>
              </w:rPr>
              <w:t>6、7、8、11</w:t>
            </w:r>
            <w:r>
              <w:rPr>
                <w:rFonts w:hint="eastAsia"/>
                <w:b/>
                <w:szCs w:val="21"/>
              </w:rPr>
              <w:t>项必须通过，且全部评审因素通过率在80%</w:t>
            </w:r>
            <w:r>
              <w:rPr>
                <w:rFonts w:hint="eastAsia"/>
                <w:szCs w:val="21"/>
              </w:rPr>
              <w:t xml:space="preserve"> </w:t>
            </w:r>
            <w:r>
              <w:rPr>
                <w:rFonts w:hint="eastAsia"/>
                <w:b/>
                <w:szCs w:val="21"/>
              </w:rPr>
              <w:t>以上，</w:t>
            </w:r>
            <w:r>
              <w:rPr>
                <w:b/>
                <w:szCs w:val="21"/>
              </w:rPr>
              <w:t>施工组织设计评审</w:t>
            </w:r>
            <w:r>
              <w:rPr>
                <w:rFonts w:hint="eastAsia"/>
                <w:b/>
                <w:szCs w:val="21"/>
              </w:rPr>
              <w:t>方为通过。</w:t>
            </w:r>
          </w:p>
          <w:p w14:paraId="56786D82">
            <w:pPr>
              <w:pStyle w:val="10"/>
            </w:pPr>
          </w:p>
          <w:p w14:paraId="650DF93A">
            <w:pPr>
              <w:pStyle w:val="10"/>
              <w:rPr>
                <w:b/>
                <w:bCs/>
                <w:color w:val="FF0000"/>
                <w:sz w:val="22"/>
                <w:szCs w:val="24"/>
              </w:rPr>
            </w:pPr>
            <w:r>
              <w:rPr>
                <w:rFonts w:hint="eastAsia"/>
                <w:b/>
                <w:bCs/>
                <w:color w:val="FF0000"/>
                <w:sz w:val="22"/>
                <w:szCs w:val="24"/>
              </w:rPr>
              <w:t>其中“11.重点、难点”要求包括但不限于以下内容：</w:t>
            </w:r>
          </w:p>
          <w:p w14:paraId="641F2094">
            <w:pPr>
              <w:pStyle w:val="10"/>
              <w:rPr>
                <w:b/>
                <w:bCs/>
                <w:color w:val="FF0000"/>
                <w:sz w:val="22"/>
                <w:szCs w:val="24"/>
              </w:rPr>
            </w:pPr>
            <w:r>
              <w:rPr>
                <w:rFonts w:hint="eastAsia"/>
                <w:b/>
                <w:bCs/>
                <w:color w:val="FF0000"/>
                <w:sz w:val="22"/>
                <w:szCs w:val="24"/>
              </w:rPr>
              <w:t>1.</w:t>
            </w:r>
            <w:r>
              <w:rPr>
                <w:b/>
                <w:bCs/>
                <w:color w:val="FF0000"/>
                <w:sz w:val="22"/>
                <w:szCs w:val="24"/>
              </w:rPr>
              <w:t>本项目安全文明施工要求高，须做好施工中的噪声控制、扬尘管理、</w:t>
            </w:r>
          </w:p>
          <w:p w14:paraId="1931A6EF">
            <w:pPr>
              <w:pStyle w:val="10"/>
              <w:numPr>
                <w:ilvl w:val="0"/>
                <w:numId w:val="4"/>
              </w:numPr>
            </w:pPr>
            <w:r>
              <w:rPr>
                <w:b/>
                <w:bCs/>
                <w:color w:val="FF0000"/>
                <w:sz w:val="22"/>
                <w:szCs w:val="24"/>
              </w:rPr>
              <w:t>安全文明施工等措施，尽可能减少对周边环境的影响</w:t>
            </w:r>
          </w:p>
        </w:tc>
      </w:tr>
    </w:tbl>
    <w:p w14:paraId="79B9DB8E">
      <w:pPr>
        <w:keepNext/>
        <w:keepLines/>
        <w:spacing w:before="260" w:after="260" w:line="415" w:lineRule="auto"/>
        <w:jc w:val="center"/>
        <w:outlineLvl w:val="1"/>
        <w:rPr>
          <w:rFonts w:eastAsia="黑体"/>
          <w:b/>
          <w:bCs/>
          <w:sz w:val="32"/>
          <w:szCs w:val="32"/>
        </w:rPr>
      </w:pPr>
    </w:p>
    <w:p w14:paraId="6A28C7CD">
      <w:pPr>
        <w:keepNext/>
        <w:keepLines/>
        <w:spacing w:before="260" w:after="260" w:line="415" w:lineRule="auto"/>
        <w:jc w:val="center"/>
        <w:outlineLvl w:val="1"/>
        <w:rPr>
          <w:rFonts w:eastAsia="黑体"/>
          <w:b/>
          <w:bCs/>
          <w:sz w:val="32"/>
          <w:szCs w:val="32"/>
        </w:rPr>
      </w:pPr>
      <w:bookmarkStart w:id="78" w:name="_Toc3923"/>
      <w:r>
        <w:rPr>
          <w:rFonts w:hint="eastAsia" w:eastAsia="黑体"/>
          <w:b/>
          <w:bCs/>
          <w:sz w:val="32"/>
          <w:szCs w:val="32"/>
        </w:rPr>
        <w:t>评标办法前附表二——详细评审表</w:t>
      </w:r>
      <w:bookmarkEnd w:id="75"/>
      <w:bookmarkEnd w:id="76"/>
      <w:bookmarkEnd w:id="77"/>
      <w:bookmarkEnd w:id="78"/>
    </w:p>
    <w:tbl>
      <w:tblPr>
        <w:tblStyle w:val="17"/>
        <w:tblW w:w="93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14"/>
        <w:gridCol w:w="1197"/>
        <w:gridCol w:w="1488"/>
        <w:gridCol w:w="5607"/>
      </w:tblGrid>
      <w:tr w14:paraId="3DFAFE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4" w:type="dxa"/>
            <w:tcBorders>
              <w:top w:val="single" w:color="auto" w:sz="4" w:space="0"/>
              <w:bottom w:val="single" w:color="auto" w:sz="4" w:space="0"/>
              <w:right w:val="single" w:color="auto" w:sz="4" w:space="0"/>
            </w:tcBorders>
            <w:vAlign w:val="center"/>
          </w:tcPr>
          <w:p w14:paraId="3985EEFF">
            <w:pPr>
              <w:spacing w:line="360" w:lineRule="auto"/>
              <w:jc w:val="center"/>
              <w:rPr>
                <w:rFonts w:hint="eastAsia" w:ascii="宋体" w:hAnsi="宋体" w:cs="宋体"/>
                <w:b/>
                <w:szCs w:val="21"/>
              </w:rPr>
            </w:pPr>
            <w:r>
              <w:rPr>
                <w:rFonts w:hint="eastAsia" w:ascii="宋体" w:hAnsi="宋体" w:cs="宋体"/>
                <w:b/>
                <w:szCs w:val="21"/>
              </w:rPr>
              <w:t>条款号</w:t>
            </w:r>
          </w:p>
        </w:tc>
        <w:tc>
          <w:tcPr>
            <w:tcW w:w="2685" w:type="dxa"/>
            <w:gridSpan w:val="2"/>
            <w:tcBorders>
              <w:top w:val="single" w:color="auto" w:sz="4" w:space="0"/>
              <w:bottom w:val="single" w:color="auto" w:sz="4" w:space="0"/>
              <w:right w:val="single" w:color="auto" w:sz="4" w:space="0"/>
            </w:tcBorders>
            <w:vAlign w:val="center"/>
          </w:tcPr>
          <w:p w14:paraId="622E7936">
            <w:pPr>
              <w:spacing w:line="360" w:lineRule="auto"/>
              <w:jc w:val="center"/>
              <w:rPr>
                <w:rFonts w:hint="eastAsia" w:ascii="宋体" w:hAnsi="宋体" w:cs="宋体"/>
                <w:b/>
                <w:szCs w:val="21"/>
              </w:rPr>
            </w:pPr>
            <w:r>
              <w:rPr>
                <w:rFonts w:hint="eastAsia" w:ascii="宋体" w:hAnsi="宋体" w:cs="宋体"/>
                <w:b/>
                <w:szCs w:val="21"/>
              </w:rPr>
              <w:t>条款内容/评分因素</w:t>
            </w:r>
          </w:p>
        </w:tc>
        <w:tc>
          <w:tcPr>
            <w:tcW w:w="5607" w:type="dxa"/>
            <w:tcBorders>
              <w:top w:val="single" w:color="auto" w:sz="4" w:space="0"/>
              <w:left w:val="single" w:color="auto" w:sz="4" w:space="0"/>
              <w:bottom w:val="single" w:color="auto" w:sz="4" w:space="0"/>
              <w:right w:val="single" w:color="auto" w:sz="4" w:space="0"/>
            </w:tcBorders>
            <w:vAlign w:val="center"/>
          </w:tcPr>
          <w:p w14:paraId="2BECFEE2">
            <w:pPr>
              <w:spacing w:line="360" w:lineRule="auto"/>
              <w:jc w:val="center"/>
              <w:rPr>
                <w:rFonts w:hint="eastAsia" w:ascii="宋体" w:hAnsi="宋体" w:cs="宋体"/>
                <w:b/>
                <w:szCs w:val="21"/>
              </w:rPr>
            </w:pPr>
            <w:r>
              <w:rPr>
                <w:rFonts w:hint="eastAsia" w:ascii="宋体" w:hAnsi="宋体" w:cs="宋体"/>
                <w:b/>
                <w:szCs w:val="21"/>
              </w:rPr>
              <w:t>编列内容/评分标准</w:t>
            </w:r>
          </w:p>
        </w:tc>
      </w:tr>
      <w:tr w14:paraId="1CF36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4" w:type="dxa"/>
            <w:tcBorders>
              <w:top w:val="single" w:color="auto" w:sz="4" w:space="0"/>
              <w:right w:val="single" w:color="auto" w:sz="4" w:space="0"/>
            </w:tcBorders>
            <w:vAlign w:val="center"/>
          </w:tcPr>
          <w:p w14:paraId="60EFB817">
            <w:pPr>
              <w:spacing w:line="360" w:lineRule="auto"/>
              <w:jc w:val="center"/>
              <w:rPr>
                <w:rFonts w:hint="eastAsia" w:ascii="宋体" w:hAnsi="宋体" w:cs="宋体"/>
                <w:szCs w:val="21"/>
              </w:rPr>
            </w:pPr>
            <w:r>
              <w:rPr>
                <w:rFonts w:hint="eastAsia" w:ascii="宋体" w:hAnsi="宋体" w:cs="宋体"/>
                <w:szCs w:val="21"/>
              </w:rPr>
              <w:t>3.2.1</w:t>
            </w:r>
          </w:p>
        </w:tc>
        <w:tc>
          <w:tcPr>
            <w:tcW w:w="2685" w:type="dxa"/>
            <w:gridSpan w:val="2"/>
            <w:tcBorders>
              <w:top w:val="single" w:color="auto" w:sz="4" w:space="0"/>
              <w:right w:val="single" w:color="auto" w:sz="4" w:space="0"/>
            </w:tcBorders>
            <w:vAlign w:val="center"/>
          </w:tcPr>
          <w:p w14:paraId="677645FC">
            <w:pPr>
              <w:spacing w:line="360" w:lineRule="auto"/>
              <w:jc w:val="center"/>
              <w:rPr>
                <w:rFonts w:hint="eastAsia" w:ascii="宋体" w:hAnsi="宋体" w:cs="宋体"/>
                <w:szCs w:val="21"/>
              </w:rPr>
            </w:pPr>
            <w:r>
              <w:rPr>
                <w:rFonts w:hint="eastAsia" w:ascii="宋体" w:hAnsi="宋体" w:cs="宋体"/>
                <w:szCs w:val="21"/>
              </w:rPr>
              <w:t>分值构成</w:t>
            </w:r>
          </w:p>
          <w:p w14:paraId="3F67C983">
            <w:pPr>
              <w:spacing w:line="360" w:lineRule="auto"/>
              <w:jc w:val="center"/>
              <w:rPr>
                <w:rFonts w:hint="eastAsia" w:ascii="宋体" w:hAnsi="宋体" w:cs="宋体"/>
                <w:szCs w:val="21"/>
              </w:rPr>
            </w:pPr>
            <w:r>
              <w:rPr>
                <w:rFonts w:hint="eastAsia" w:ascii="宋体" w:hAnsi="宋体" w:cs="宋体"/>
                <w:szCs w:val="21"/>
              </w:rPr>
              <w:t>（总分100分）</w:t>
            </w:r>
          </w:p>
        </w:tc>
        <w:tc>
          <w:tcPr>
            <w:tcW w:w="5607" w:type="dxa"/>
            <w:tcBorders>
              <w:top w:val="single" w:color="auto" w:sz="4" w:space="0"/>
              <w:left w:val="single" w:color="auto" w:sz="4" w:space="0"/>
              <w:bottom w:val="single" w:color="auto" w:sz="4" w:space="0"/>
              <w:right w:val="single" w:color="auto" w:sz="4" w:space="0"/>
            </w:tcBorders>
            <w:vAlign w:val="center"/>
          </w:tcPr>
          <w:p w14:paraId="0BAA6ED3">
            <w:pPr>
              <w:spacing w:line="360" w:lineRule="auto"/>
              <w:jc w:val="left"/>
              <w:rPr>
                <w:rFonts w:hint="eastAsia" w:ascii="宋体" w:hAnsi="宋体" w:cs="宋体"/>
                <w:szCs w:val="21"/>
              </w:rPr>
            </w:pPr>
            <w:r>
              <w:rPr>
                <w:rFonts w:hint="eastAsia" w:ascii="宋体" w:hAnsi="宋体" w:cs="宋体"/>
                <w:szCs w:val="21"/>
              </w:rPr>
              <w:t>（1）技术部分：</w:t>
            </w:r>
            <w:r>
              <w:rPr>
                <w:rFonts w:hint="eastAsia" w:ascii="宋体" w:hAnsi="宋体" w:cs="宋体"/>
                <w:szCs w:val="21"/>
                <w:u w:val="single"/>
              </w:rPr>
              <w:t xml:space="preserve"> 60</w:t>
            </w:r>
            <w:r>
              <w:rPr>
                <w:rFonts w:hint="eastAsia" w:ascii="宋体" w:hAnsi="宋体" w:cs="宋体"/>
                <w:szCs w:val="21"/>
              </w:rPr>
              <w:t>分；</w:t>
            </w:r>
          </w:p>
          <w:p w14:paraId="246A4C07">
            <w:pPr>
              <w:spacing w:line="360" w:lineRule="auto"/>
              <w:jc w:val="left"/>
              <w:rPr>
                <w:rFonts w:hint="eastAsia" w:ascii="宋体" w:hAnsi="宋体" w:cs="宋体"/>
                <w:szCs w:val="21"/>
              </w:rPr>
            </w:pPr>
            <w:r>
              <w:rPr>
                <w:rFonts w:hint="eastAsia" w:ascii="宋体" w:hAnsi="宋体" w:cs="宋体"/>
                <w:szCs w:val="21"/>
              </w:rPr>
              <w:t>（2）商务部分：</w:t>
            </w:r>
            <w:r>
              <w:rPr>
                <w:rFonts w:hint="eastAsia" w:ascii="宋体" w:hAnsi="宋体" w:cs="宋体"/>
                <w:szCs w:val="21"/>
                <w:u w:val="single"/>
              </w:rPr>
              <w:t xml:space="preserve"> 40 </w:t>
            </w:r>
            <w:r>
              <w:rPr>
                <w:rFonts w:hint="eastAsia" w:ascii="宋体" w:hAnsi="宋体" w:cs="宋体"/>
                <w:szCs w:val="21"/>
              </w:rPr>
              <w:t>分</w:t>
            </w:r>
          </w:p>
        </w:tc>
      </w:tr>
      <w:tr w14:paraId="0715A6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4" w:type="dxa"/>
            <w:tcBorders>
              <w:top w:val="single" w:color="auto" w:sz="4" w:space="0"/>
              <w:right w:val="single" w:color="auto" w:sz="4" w:space="0"/>
            </w:tcBorders>
            <w:vAlign w:val="center"/>
          </w:tcPr>
          <w:p w14:paraId="40740E19">
            <w:pPr>
              <w:spacing w:line="360" w:lineRule="auto"/>
              <w:jc w:val="center"/>
              <w:rPr>
                <w:rFonts w:hint="eastAsia" w:ascii="宋体" w:hAnsi="宋体" w:cs="宋体"/>
                <w:szCs w:val="21"/>
              </w:rPr>
            </w:pPr>
            <w:r>
              <w:rPr>
                <w:rFonts w:hint="eastAsia" w:ascii="宋体" w:hAnsi="宋体" w:cs="宋体"/>
                <w:szCs w:val="21"/>
              </w:rPr>
              <w:t>3.2.2</w:t>
            </w:r>
          </w:p>
        </w:tc>
        <w:tc>
          <w:tcPr>
            <w:tcW w:w="2685" w:type="dxa"/>
            <w:gridSpan w:val="2"/>
            <w:tcBorders>
              <w:top w:val="single" w:color="auto" w:sz="4" w:space="0"/>
              <w:right w:val="single" w:color="auto" w:sz="4" w:space="0"/>
            </w:tcBorders>
            <w:vAlign w:val="center"/>
          </w:tcPr>
          <w:p w14:paraId="3F4DB6CA">
            <w:pPr>
              <w:spacing w:line="360" w:lineRule="auto"/>
              <w:jc w:val="center"/>
              <w:rPr>
                <w:rFonts w:hint="eastAsia" w:ascii="宋体" w:hAnsi="宋体" w:cs="宋体"/>
                <w:szCs w:val="21"/>
              </w:rPr>
            </w:pPr>
            <w:r>
              <w:rPr>
                <w:rFonts w:hint="eastAsia" w:ascii="宋体" w:hAnsi="宋体" w:cs="宋体"/>
                <w:szCs w:val="21"/>
              </w:rPr>
              <w:t>评标基准价计算方法</w:t>
            </w:r>
          </w:p>
        </w:tc>
        <w:tc>
          <w:tcPr>
            <w:tcW w:w="5607" w:type="dxa"/>
            <w:tcBorders>
              <w:top w:val="single" w:color="auto" w:sz="4" w:space="0"/>
              <w:left w:val="single" w:color="auto" w:sz="4" w:space="0"/>
              <w:bottom w:val="single" w:color="auto" w:sz="4" w:space="0"/>
              <w:right w:val="single" w:color="auto" w:sz="4" w:space="0"/>
            </w:tcBorders>
            <w:vAlign w:val="center"/>
          </w:tcPr>
          <w:p w14:paraId="236A37D4">
            <w:pPr>
              <w:widowControl/>
              <w:rPr>
                <w:szCs w:val="21"/>
              </w:rPr>
            </w:pPr>
            <w:r>
              <w:rPr>
                <w:szCs w:val="21"/>
              </w:rPr>
              <w:t>通过初步评审的投标人数量＜3家时，该项目流标。</w:t>
            </w:r>
          </w:p>
          <w:p w14:paraId="3CEC8EB1">
            <w:pPr>
              <w:widowControl/>
              <w:rPr>
                <w:szCs w:val="21"/>
              </w:rPr>
            </w:pPr>
            <w:r>
              <w:rPr>
                <w:szCs w:val="21"/>
              </w:rPr>
              <w:t>计算评标基准价P值：</w:t>
            </w:r>
          </w:p>
          <w:p w14:paraId="5A2AEB80">
            <w:pPr>
              <w:widowControl/>
              <w:rPr>
                <w:szCs w:val="21"/>
              </w:rPr>
            </w:pPr>
            <w:r>
              <w:rPr>
                <w:szCs w:val="21"/>
              </w:rPr>
              <w:t>①3家≤通过初步评审的投标人数量≤5家时，以通过初步评审的各投标人的投标报价的算术平均值作为P值；</w:t>
            </w:r>
          </w:p>
          <w:p w14:paraId="3B99671D">
            <w:pPr>
              <w:widowControl/>
              <w:rPr>
                <w:rFonts w:hint="eastAsia" w:ascii="宋体" w:hAnsi="宋体" w:cs="宋体"/>
                <w:szCs w:val="21"/>
              </w:rPr>
            </w:pPr>
            <w:r>
              <w:rPr>
                <w:szCs w:val="21"/>
              </w:rPr>
              <w:t>②通过初步评审的投标人数量＞5家时，计算技术部分得分前5名投标人的投标报价的算术平均值，得出P值。</w:t>
            </w:r>
          </w:p>
        </w:tc>
      </w:tr>
      <w:tr w14:paraId="34B98F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4" w:type="dxa"/>
            <w:vMerge w:val="restart"/>
            <w:tcBorders>
              <w:top w:val="single" w:color="auto" w:sz="4" w:space="0"/>
              <w:right w:val="single" w:color="auto" w:sz="4" w:space="0"/>
            </w:tcBorders>
            <w:vAlign w:val="center"/>
          </w:tcPr>
          <w:p w14:paraId="64A7AD82">
            <w:pPr>
              <w:spacing w:line="360" w:lineRule="auto"/>
              <w:jc w:val="center"/>
              <w:rPr>
                <w:rFonts w:hint="eastAsia" w:ascii="宋体" w:hAnsi="宋体" w:cs="宋体"/>
                <w:szCs w:val="21"/>
              </w:rPr>
            </w:pPr>
            <w:r>
              <w:rPr>
                <w:rFonts w:hint="eastAsia" w:ascii="宋体" w:hAnsi="宋体" w:cs="宋体"/>
                <w:szCs w:val="21"/>
              </w:rPr>
              <w:t>3.2.3（1）</w:t>
            </w:r>
          </w:p>
        </w:tc>
        <w:tc>
          <w:tcPr>
            <w:tcW w:w="1197" w:type="dxa"/>
            <w:vMerge w:val="restart"/>
            <w:tcBorders>
              <w:top w:val="single" w:color="auto" w:sz="4" w:space="0"/>
              <w:right w:val="single" w:color="auto" w:sz="4" w:space="0"/>
            </w:tcBorders>
            <w:vAlign w:val="center"/>
          </w:tcPr>
          <w:p w14:paraId="0FB847B2">
            <w:pPr>
              <w:spacing w:line="300" w:lineRule="auto"/>
              <w:jc w:val="center"/>
              <w:rPr>
                <w:rFonts w:hint="eastAsia" w:ascii="宋体" w:hAnsi="宋体" w:cs="宋体"/>
                <w:szCs w:val="21"/>
              </w:rPr>
            </w:pPr>
            <w:r>
              <w:rPr>
                <w:rFonts w:hint="eastAsia" w:ascii="宋体" w:hAnsi="宋体" w:cs="宋体"/>
                <w:kern w:val="0"/>
                <w:szCs w:val="21"/>
              </w:rPr>
              <w:t>技术部分（</w:t>
            </w:r>
            <w:r>
              <w:rPr>
                <w:rFonts w:hint="eastAsia" w:ascii="宋体" w:hAnsi="宋体" w:cs="宋体"/>
                <w:kern w:val="0"/>
                <w:szCs w:val="21"/>
                <w:u w:val="single"/>
              </w:rPr>
              <w:t xml:space="preserve"> 60 </w:t>
            </w:r>
            <w:r>
              <w:rPr>
                <w:rFonts w:hint="eastAsia" w:ascii="宋体" w:hAnsi="宋体" w:cs="宋体"/>
                <w:kern w:val="0"/>
                <w:szCs w:val="21"/>
              </w:rPr>
              <w:t>分）</w:t>
            </w:r>
          </w:p>
        </w:tc>
        <w:tc>
          <w:tcPr>
            <w:tcW w:w="1488" w:type="dxa"/>
            <w:tcBorders>
              <w:top w:val="single" w:color="auto" w:sz="4" w:space="0"/>
              <w:left w:val="single" w:color="auto" w:sz="4" w:space="0"/>
              <w:bottom w:val="single" w:color="auto" w:sz="4" w:space="0"/>
              <w:right w:val="single" w:color="auto" w:sz="4" w:space="0"/>
            </w:tcBorders>
            <w:vAlign w:val="center"/>
          </w:tcPr>
          <w:p w14:paraId="2BA3279F">
            <w:pPr>
              <w:widowControl/>
              <w:spacing w:line="300" w:lineRule="auto"/>
              <w:jc w:val="center"/>
              <w:rPr>
                <w:rFonts w:hint="eastAsia" w:ascii="宋体" w:hAnsi="宋体" w:cs="宋体"/>
                <w:color w:val="0000FF"/>
                <w:kern w:val="0"/>
                <w:szCs w:val="21"/>
              </w:rPr>
            </w:pPr>
            <w:r>
              <w:rPr>
                <w:rFonts w:hint="eastAsia" w:ascii="宋体" w:hAnsi="宋体" w:cs="宋体"/>
                <w:color w:val="0000FF"/>
                <w:szCs w:val="21"/>
              </w:rPr>
              <w:t>施工组织设计（40分）</w:t>
            </w:r>
          </w:p>
        </w:tc>
        <w:tc>
          <w:tcPr>
            <w:tcW w:w="5607" w:type="dxa"/>
            <w:tcBorders>
              <w:top w:val="single" w:color="auto" w:sz="4" w:space="0"/>
              <w:left w:val="single" w:color="auto" w:sz="4" w:space="0"/>
              <w:bottom w:val="single" w:color="auto" w:sz="4" w:space="0"/>
              <w:right w:val="single" w:color="auto" w:sz="4" w:space="0"/>
            </w:tcBorders>
            <w:vAlign w:val="center"/>
          </w:tcPr>
          <w:p w14:paraId="2D33BBD4">
            <w:pPr>
              <w:spacing w:line="300" w:lineRule="auto"/>
              <w:rPr>
                <w:rFonts w:hint="eastAsia" w:ascii="宋体" w:hAnsi="宋体" w:cs="宋体"/>
                <w:color w:val="0000FF"/>
                <w:szCs w:val="21"/>
              </w:rPr>
            </w:pPr>
            <w:r>
              <w:rPr>
                <w:rFonts w:hint="eastAsia" w:ascii="宋体" w:hAnsi="宋体" w:cs="宋体"/>
                <w:color w:val="0000FF"/>
                <w:szCs w:val="21"/>
              </w:rPr>
              <w:t>根据3.1.4中内容编制，且其中第6、7、8、11项必须通过评审，根据编制情况综合打分，本项最高得40分。</w:t>
            </w:r>
          </w:p>
        </w:tc>
      </w:tr>
      <w:tr w14:paraId="56C213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4" w:type="dxa"/>
            <w:vMerge w:val="continue"/>
            <w:tcBorders>
              <w:right w:val="single" w:color="auto" w:sz="4" w:space="0"/>
            </w:tcBorders>
            <w:vAlign w:val="center"/>
          </w:tcPr>
          <w:p w14:paraId="4DBA79C6">
            <w:pPr>
              <w:spacing w:line="360" w:lineRule="auto"/>
              <w:jc w:val="center"/>
              <w:rPr>
                <w:rFonts w:hint="eastAsia" w:ascii="宋体" w:hAnsi="宋体" w:cs="宋体"/>
                <w:szCs w:val="21"/>
              </w:rPr>
            </w:pPr>
          </w:p>
        </w:tc>
        <w:tc>
          <w:tcPr>
            <w:tcW w:w="1197" w:type="dxa"/>
            <w:vMerge w:val="continue"/>
            <w:tcBorders>
              <w:right w:val="single" w:color="auto" w:sz="4" w:space="0"/>
            </w:tcBorders>
            <w:vAlign w:val="center"/>
          </w:tcPr>
          <w:p w14:paraId="05DE78C0">
            <w:pPr>
              <w:spacing w:line="300" w:lineRule="auto"/>
              <w:jc w:val="center"/>
              <w:rPr>
                <w:rFonts w:hint="eastAsia" w:ascii="宋体" w:hAnsi="宋体" w:cs="宋体"/>
                <w:kern w:val="0"/>
                <w:szCs w:val="21"/>
              </w:rPr>
            </w:pPr>
          </w:p>
        </w:tc>
        <w:tc>
          <w:tcPr>
            <w:tcW w:w="1488" w:type="dxa"/>
            <w:tcBorders>
              <w:top w:val="single" w:color="auto" w:sz="4" w:space="0"/>
              <w:left w:val="single" w:color="auto" w:sz="4" w:space="0"/>
              <w:bottom w:val="single" w:color="auto" w:sz="4" w:space="0"/>
              <w:right w:val="single" w:color="auto" w:sz="4" w:space="0"/>
            </w:tcBorders>
            <w:vAlign w:val="center"/>
          </w:tcPr>
          <w:p w14:paraId="42CB0CBB">
            <w:pPr>
              <w:widowControl/>
              <w:spacing w:line="300" w:lineRule="auto"/>
              <w:jc w:val="center"/>
              <w:rPr>
                <w:rFonts w:hint="eastAsia" w:ascii="宋体" w:hAnsi="宋体" w:cs="宋体"/>
                <w:color w:val="0000FF"/>
                <w:szCs w:val="21"/>
              </w:rPr>
            </w:pPr>
            <w:r>
              <w:rPr>
                <w:rFonts w:hint="eastAsia" w:ascii="宋体" w:hAnsi="宋体" w:cs="宋体"/>
                <w:color w:val="0000FF"/>
                <w:szCs w:val="21"/>
              </w:rPr>
              <w:t>投标人业绩（6分）</w:t>
            </w:r>
          </w:p>
        </w:tc>
        <w:tc>
          <w:tcPr>
            <w:tcW w:w="5607" w:type="dxa"/>
            <w:tcBorders>
              <w:top w:val="single" w:color="auto" w:sz="4" w:space="0"/>
              <w:left w:val="single" w:color="auto" w:sz="4" w:space="0"/>
              <w:bottom w:val="single" w:color="auto" w:sz="4" w:space="0"/>
              <w:right w:val="single" w:color="auto" w:sz="4" w:space="0"/>
            </w:tcBorders>
            <w:vAlign w:val="center"/>
          </w:tcPr>
          <w:p w14:paraId="02B43781">
            <w:pPr>
              <w:spacing w:line="300" w:lineRule="auto"/>
              <w:rPr>
                <w:rFonts w:hint="eastAsia" w:ascii="宋体" w:hAnsi="宋体" w:cs="宋体"/>
                <w:color w:val="0000FF"/>
                <w:szCs w:val="21"/>
              </w:rPr>
            </w:pPr>
            <w:r>
              <w:rPr>
                <w:rFonts w:hint="eastAsia" w:ascii="宋体" w:hAnsi="宋体" w:cs="宋体"/>
                <w:color w:val="0000FF"/>
                <w:szCs w:val="21"/>
              </w:rPr>
              <w:t xml:space="preserve">自2023年1月1日以来，具有300万元以上土石方施工或土方外运项目相关业绩。提供业绩相关证明材料，时间以合同签订时间为准。（每提供1个符合要求的业绩得3分，本项最高得6分。） </w:t>
            </w:r>
          </w:p>
        </w:tc>
      </w:tr>
      <w:tr w14:paraId="1F4E0E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014" w:type="dxa"/>
            <w:vMerge w:val="continue"/>
            <w:tcBorders>
              <w:right w:val="single" w:color="auto" w:sz="4" w:space="0"/>
            </w:tcBorders>
            <w:vAlign w:val="center"/>
          </w:tcPr>
          <w:p w14:paraId="6E851591">
            <w:pPr>
              <w:spacing w:line="360" w:lineRule="auto"/>
              <w:jc w:val="center"/>
              <w:rPr>
                <w:rFonts w:hint="eastAsia" w:ascii="宋体" w:hAnsi="宋体" w:cs="宋体"/>
                <w:szCs w:val="21"/>
              </w:rPr>
            </w:pPr>
          </w:p>
        </w:tc>
        <w:tc>
          <w:tcPr>
            <w:tcW w:w="1197" w:type="dxa"/>
            <w:vMerge w:val="continue"/>
            <w:tcBorders>
              <w:right w:val="single" w:color="auto" w:sz="4" w:space="0"/>
            </w:tcBorders>
            <w:vAlign w:val="center"/>
          </w:tcPr>
          <w:p w14:paraId="029951EB">
            <w:pPr>
              <w:spacing w:line="300" w:lineRule="auto"/>
              <w:jc w:val="center"/>
              <w:rPr>
                <w:rFonts w:hint="eastAsia" w:ascii="宋体" w:hAnsi="宋体" w:cs="宋体"/>
                <w:szCs w:val="21"/>
              </w:rPr>
            </w:pPr>
          </w:p>
        </w:tc>
        <w:tc>
          <w:tcPr>
            <w:tcW w:w="1488" w:type="dxa"/>
            <w:tcBorders>
              <w:top w:val="single" w:color="auto" w:sz="4" w:space="0"/>
              <w:left w:val="single" w:color="auto" w:sz="4" w:space="0"/>
              <w:bottom w:val="single" w:color="auto" w:sz="4" w:space="0"/>
              <w:right w:val="single" w:color="auto" w:sz="4" w:space="0"/>
            </w:tcBorders>
            <w:vAlign w:val="center"/>
          </w:tcPr>
          <w:p w14:paraId="4EE849C2">
            <w:pPr>
              <w:widowControl/>
              <w:jc w:val="center"/>
              <w:rPr>
                <w:rFonts w:hint="eastAsia" w:ascii="宋体" w:hAnsi="宋体" w:cs="宋体"/>
                <w:color w:val="0000FF"/>
                <w:kern w:val="0"/>
                <w:szCs w:val="21"/>
              </w:rPr>
            </w:pPr>
            <w:r>
              <w:rPr>
                <w:rFonts w:hint="eastAsia" w:ascii="宋体" w:hAnsi="宋体" w:cs="宋体"/>
                <w:color w:val="0000FF"/>
              </w:rPr>
              <w:t>综合评价（14分）</w:t>
            </w:r>
          </w:p>
        </w:tc>
        <w:tc>
          <w:tcPr>
            <w:tcW w:w="5607" w:type="dxa"/>
            <w:tcBorders>
              <w:top w:val="single" w:color="auto" w:sz="4" w:space="0"/>
              <w:left w:val="single" w:color="auto" w:sz="4" w:space="0"/>
              <w:bottom w:val="single" w:color="auto" w:sz="4" w:space="0"/>
              <w:right w:val="single" w:color="auto" w:sz="4" w:space="0"/>
            </w:tcBorders>
            <w:vAlign w:val="center"/>
          </w:tcPr>
          <w:p w14:paraId="406289D2">
            <w:pPr>
              <w:pStyle w:val="10"/>
              <w:rPr>
                <w:rFonts w:hint="eastAsia" w:hAnsi="宋体" w:cs="宋体"/>
                <w:color w:val="0000FF"/>
                <w:szCs w:val="21"/>
              </w:rPr>
            </w:pPr>
            <w:r>
              <w:rPr>
                <w:rFonts w:hint="eastAsia" w:hAnsi="宋体" w:cs="宋体"/>
                <w:color w:val="0000FF"/>
              </w:rPr>
              <w:t>由评委会根据投标人的实力，投标人对本地</w:t>
            </w:r>
            <w:r>
              <w:rPr>
                <w:rFonts w:hint="eastAsia" w:hAnsi="宋体" w:cs="宋体"/>
                <w:color w:val="0000FF"/>
                <w:lang w:val="en-US" w:eastAsia="zh-CN"/>
              </w:rPr>
              <w:t>土方工程</w:t>
            </w:r>
            <w:r>
              <w:rPr>
                <w:rFonts w:hint="eastAsia" w:hAnsi="宋体" w:cs="宋体"/>
                <w:color w:val="0000FF"/>
              </w:rPr>
              <w:t>要求的了解、熟悉程度、企业规模，用户的口碑（如无重大质量、安全事故，服务及时，按时完工等方面的用户评价）、是否具备本地化服务、清单编制合理性等综合进行打分。投标人自行提供相关证明材料，包括但不限于业绩、项目获奖、用户评价、企业信息等内容。本项最高得15分。</w:t>
            </w:r>
          </w:p>
        </w:tc>
      </w:tr>
      <w:tr w14:paraId="522F47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07" w:hRule="atLeast"/>
          <w:jc w:val="center"/>
        </w:trPr>
        <w:tc>
          <w:tcPr>
            <w:tcW w:w="1014" w:type="dxa"/>
            <w:tcBorders>
              <w:top w:val="single" w:color="auto" w:sz="4" w:space="0"/>
              <w:bottom w:val="single" w:color="auto" w:sz="4" w:space="0"/>
              <w:right w:val="single" w:color="auto" w:sz="4" w:space="0"/>
            </w:tcBorders>
            <w:vAlign w:val="center"/>
          </w:tcPr>
          <w:p w14:paraId="109B0D05">
            <w:pPr>
              <w:spacing w:line="360" w:lineRule="auto"/>
              <w:jc w:val="center"/>
              <w:rPr>
                <w:rFonts w:hint="eastAsia" w:ascii="宋体" w:hAnsi="宋体" w:cs="宋体"/>
                <w:szCs w:val="21"/>
              </w:rPr>
            </w:pPr>
            <w:r>
              <w:rPr>
                <w:rFonts w:hint="eastAsia" w:ascii="宋体" w:hAnsi="宋体" w:cs="宋体"/>
                <w:szCs w:val="21"/>
              </w:rPr>
              <w:t>3.2.3（2）</w:t>
            </w:r>
          </w:p>
        </w:tc>
        <w:tc>
          <w:tcPr>
            <w:tcW w:w="1197" w:type="dxa"/>
            <w:tcBorders>
              <w:top w:val="single" w:color="auto" w:sz="4" w:space="0"/>
              <w:bottom w:val="single" w:color="auto" w:sz="4" w:space="0"/>
              <w:right w:val="single" w:color="auto" w:sz="4" w:space="0"/>
            </w:tcBorders>
            <w:vAlign w:val="center"/>
          </w:tcPr>
          <w:p w14:paraId="274F28EC">
            <w:pPr>
              <w:spacing w:line="300" w:lineRule="auto"/>
              <w:jc w:val="center"/>
              <w:rPr>
                <w:rFonts w:hint="eastAsia" w:ascii="宋体" w:hAnsi="宋体" w:cs="宋体"/>
                <w:szCs w:val="21"/>
              </w:rPr>
            </w:pPr>
            <w:r>
              <w:rPr>
                <w:rFonts w:hint="eastAsia" w:ascii="宋体" w:hAnsi="宋体" w:cs="宋体"/>
                <w:szCs w:val="21"/>
              </w:rPr>
              <w:t>商务部分（</w:t>
            </w:r>
            <w:r>
              <w:rPr>
                <w:rFonts w:hint="eastAsia" w:ascii="宋体" w:hAnsi="宋体" w:cs="宋体"/>
                <w:szCs w:val="21"/>
                <w:u w:val="single"/>
              </w:rPr>
              <w:t xml:space="preserve"> 40 </w:t>
            </w:r>
            <w:r>
              <w:rPr>
                <w:rFonts w:hint="eastAsia" w:ascii="宋体" w:hAnsi="宋体" w:cs="宋体"/>
                <w:szCs w:val="21"/>
              </w:rPr>
              <w:t>分）</w:t>
            </w:r>
          </w:p>
        </w:tc>
        <w:tc>
          <w:tcPr>
            <w:tcW w:w="1488" w:type="dxa"/>
            <w:tcBorders>
              <w:top w:val="single" w:color="auto" w:sz="4" w:space="0"/>
              <w:left w:val="single" w:color="auto" w:sz="4" w:space="0"/>
              <w:bottom w:val="single" w:color="auto" w:sz="4" w:space="0"/>
              <w:right w:val="single" w:color="auto" w:sz="4" w:space="0"/>
            </w:tcBorders>
            <w:vAlign w:val="center"/>
          </w:tcPr>
          <w:p w14:paraId="22E1B0BD">
            <w:pPr>
              <w:widowControl/>
              <w:ind w:left="-57"/>
              <w:jc w:val="center"/>
              <w:rPr>
                <w:rFonts w:hint="eastAsia" w:ascii="宋体" w:hAnsi="宋体" w:cs="宋体"/>
                <w:kern w:val="0"/>
                <w:szCs w:val="21"/>
              </w:rPr>
            </w:pPr>
            <w:r>
              <w:rPr>
                <w:rFonts w:hint="eastAsia" w:ascii="宋体" w:hAnsi="宋体" w:cs="宋体"/>
                <w:szCs w:val="21"/>
              </w:rPr>
              <w:t>商务报价得分</w:t>
            </w:r>
          </w:p>
        </w:tc>
        <w:tc>
          <w:tcPr>
            <w:tcW w:w="5607" w:type="dxa"/>
            <w:tcBorders>
              <w:top w:val="single" w:color="auto" w:sz="4" w:space="0"/>
              <w:left w:val="single" w:color="auto" w:sz="4" w:space="0"/>
              <w:bottom w:val="single" w:color="auto" w:sz="4" w:space="0"/>
              <w:right w:val="single" w:color="auto" w:sz="4" w:space="0"/>
            </w:tcBorders>
            <w:vAlign w:val="center"/>
          </w:tcPr>
          <w:p w14:paraId="474615AE">
            <w:pPr>
              <w:rPr>
                <w:szCs w:val="21"/>
              </w:rPr>
            </w:pPr>
            <w:r>
              <w:rPr>
                <w:szCs w:val="21"/>
              </w:rPr>
              <w:t>设通过初步评审的投标人的投标报价为P1，其商务报价得分（D1）按照下述公式计算得出：</w:t>
            </w:r>
          </w:p>
          <w:p w14:paraId="66BA97F0">
            <w:pPr>
              <w:rPr>
                <w:szCs w:val="21"/>
              </w:rPr>
            </w:pPr>
            <w:r>
              <w:rPr>
                <w:szCs w:val="21"/>
              </w:rPr>
              <w:t>D1=（1-｜P1-P｜/P）×</w:t>
            </w:r>
            <w:r>
              <w:rPr>
                <w:szCs w:val="21"/>
                <w:u w:val="single"/>
              </w:rPr>
              <w:t xml:space="preserve"> 40  </w:t>
            </w:r>
            <w:r>
              <w:rPr>
                <w:szCs w:val="21"/>
              </w:rPr>
              <w:t>分</w:t>
            </w:r>
          </w:p>
          <w:p w14:paraId="1F63C953">
            <w:pPr>
              <w:rPr>
                <w:rFonts w:hint="eastAsia" w:ascii="宋体" w:hAnsi="宋体" w:cs="宋体"/>
                <w:szCs w:val="21"/>
              </w:rPr>
            </w:pPr>
            <w:r>
              <w:rPr>
                <w:szCs w:val="21"/>
              </w:rPr>
              <w:t>注：得分保留小数点后两位（小数</w:t>
            </w:r>
            <w:bookmarkStart w:id="271" w:name="_GoBack"/>
            <w:bookmarkEnd w:id="271"/>
            <w:r>
              <w:rPr>
                <w:szCs w:val="21"/>
              </w:rPr>
              <w:t>点后第三位四舍五入）</w:t>
            </w:r>
          </w:p>
        </w:tc>
      </w:tr>
    </w:tbl>
    <w:p w14:paraId="7ADC849E">
      <w:pPr>
        <w:rPr>
          <w:rFonts w:eastAsia="黑体"/>
          <w:b/>
          <w:bCs/>
          <w:sz w:val="32"/>
          <w:szCs w:val="32"/>
        </w:rPr>
      </w:pPr>
      <w:r>
        <w:rPr>
          <w:rFonts w:eastAsia="黑体"/>
          <w:b/>
          <w:bCs/>
          <w:sz w:val="32"/>
          <w:szCs w:val="32"/>
        </w:rPr>
        <w:br w:type="page"/>
      </w:r>
    </w:p>
    <w:bookmarkEnd w:id="67"/>
    <w:bookmarkEnd w:id="68"/>
    <w:bookmarkEnd w:id="69"/>
    <w:bookmarkEnd w:id="70"/>
    <w:bookmarkEnd w:id="71"/>
    <w:p w14:paraId="78D88F04">
      <w:pPr>
        <w:keepNext/>
        <w:keepLines/>
        <w:spacing w:before="260" w:after="260" w:line="415" w:lineRule="auto"/>
        <w:outlineLvl w:val="1"/>
        <w:rPr>
          <w:rFonts w:eastAsia="黑体"/>
          <w:b/>
          <w:bCs/>
          <w:sz w:val="32"/>
          <w:szCs w:val="32"/>
        </w:rPr>
      </w:pPr>
      <w:bookmarkStart w:id="79" w:name="_Toc526774260"/>
      <w:bookmarkStart w:id="80" w:name="_Toc36119749"/>
      <w:bookmarkStart w:id="81" w:name="_Toc507438168"/>
      <w:bookmarkStart w:id="82" w:name="_Toc36119750"/>
      <w:r>
        <w:rPr>
          <w:rFonts w:hint="eastAsia" w:eastAsia="黑体"/>
          <w:b/>
          <w:bCs/>
          <w:sz w:val="32"/>
          <w:szCs w:val="32"/>
        </w:rPr>
        <w:t>1. 评标方法</w:t>
      </w:r>
    </w:p>
    <w:p w14:paraId="26F382C4">
      <w:pPr>
        <w:spacing w:line="360" w:lineRule="auto"/>
        <w:ind w:firstLine="480"/>
        <w:rPr>
          <w:sz w:val="24"/>
          <w:szCs w:val="24"/>
        </w:rPr>
      </w:pPr>
      <w:r>
        <w:rPr>
          <w:sz w:val="24"/>
          <w:szCs w:val="24"/>
        </w:rPr>
        <w:t>本次评标采用综合评估法（中位值法）。评标委员会对满足招标文件实质性要求的投标文件，按照本章第3.2款规定的评分标准进行打分，并按得分由高到低顺序推荐1~2名中标候选人，或根据招标人授权直接确定中标人，但投标报价低于其成本的除外。综合评分相等时，以投标报价低的优先；投标报价也相等的，以技术得分高的优先；如果技术得分也相等，采取由评标委员会抽签的方式确定其排序。</w:t>
      </w:r>
    </w:p>
    <w:p w14:paraId="66EC6BD9">
      <w:pPr>
        <w:keepNext/>
        <w:keepLines/>
        <w:spacing w:before="260" w:after="260" w:line="415" w:lineRule="auto"/>
        <w:outlineLvl w:val="1"/>
        <w:rPr>
          <w:rFonts w:eastAsia="黑体"/>
          <w:b/>
          <w:bCs/>
          <w:sz w:val="32"/>
          <w:szCs w:val="32"/>
        </w:rPr>
      </w:pPr>
      <w:bookmarkStart w:id="83" w:name="_Toc10824"/>
      <w:bookmarkEnd w:id="83"/>
      <w:bookmarkStart w:id="84" w:name="_Toc420"/>
      <w:bookmarkEnd w:id="84"/>
      <w:bookmarkStart w:id="85" w:name="_Toc36116854"/>
      <w:bookmarkEnd w:id="85"/>
      <w:r>
        <w:rPr>
          <w:rFonts w:hint="eastAsia" w:eastAsia="黑体"/>
          <w:b/>
          <w:bCs/>
          <w:sz w:val="32"/>
          <w:szCs w:val="32"/>
        </w:rPr>
        <w:t>2. 评标原则、评标委员会组成及职责</w:t>
      </w:r>
    </w:p>
    <w:p w14:paraId="16F24B16">
      <w:pPr>
        <w:keepNext/>
        <w:keepLines/>
        <w:spacing w:before="260" w:after="260" w:line="415" w:lineRule="auto"/>
        <w:outlineLvl w:val="2"/>
        <w:rPr>
          <w:b/>
          <w:bCs/>
          <w:sz w:val="32"/>
          <w:szCs w:val="32"/>
        </w:rPr>
      </w:pPr>
      <w:bookmarkStart w:id="86" w:name="_Toc9659"/>
      <w:bookmarkEnd w:id="86"/>
      <w:bookmarkStart w:id="87" w:name="_Toc19824"/>
      <w:bookmarkEnd w:id="87"/>
      <w:r>
        <w:rPr>
          <w:b/>
          <w:bCs/>
          <w:sz w:val="32"/>
          <w:szCs w:val="32"/>
        </w:rPr>
        <w:t>2.1 评标原则</w:t>
      </w:r>
    </w:p>
    <w:p w14:paraId="68374A01">
      <w:pPr>
        <w:spacing w:line="360" w:lineRule="auto"/>
        <w:ind w:firstLine="480"/>
        <w:rPr>
          <w:sz w:val="24"/>
          <w:szCs w:val="24"/>
        </w:rPr>
      </w:pPr>
      <w:r>
        <w:rPr>
          <w:sz w:val="24"/>
          <w:szCs w:val="24"/>
        </w:rPr>
        <w:t>评标委员会遵循“客观公正，实事求是”的原则，依据招标文件，对所有的合格投标文件进行相同程序和标准的审查、评估及比较。</w:t>
      </w:r>
    </w:p>
    <w:p w14:paraId="2C1EFF5A">
      <w:pPr>
        <w:keepNext/>
        <w:keepLines/>
        <w:spacing w:before="260" w:after="260" w:line="415" w:lineRule="auto"/>
        <w:outlineLvl w:val="2"/>
        <w:rPr>
          <w:b/>
          <w:bCs/>
          <w:sz w:val="32"/>
          <w:szCs w:val="32"/>
        </w:rPr>
      </w:pPr>
      <w:bookmarkStart w:id="88" w:name="_Toc17125"/>
      <w:bookmarkEnd w:id="88"/>
      <w:bookmarkStart w:id="89" w:name="_Toc31043"/>
      <w:bookmarkEnd w:id="89"/>
      <w:r>
        <w:rPr>
          <w:b/>
          <w:bCs/>
          <w:sz w:val="32"/>
          <w:szCs w:val="32"/>
        </w:rPr>
        <w:t>2.2评标委员会组成及职责</w:t>
      </w:r>
    </w:p>
    <w:p w14:paraId="3C36E441">
      <w:pPr>
        <w:spacing w:line="360" w:lineRule="auto"/>
        <w:ind w:firstLine="480"/>
        <w:rPr>
          <w:sz w:val="24"/>
          <w:szCs w:val="24"/>
        </w:rPr>
      </w:pPr>
      <w:r>
        <w:rPr>
          <w:sz w:val="24"/>
          <w:szCs w:val="24"/>
        </w:rPr>
        <w:t>2.2.1招标人依法组建5人及以上单数的评标委员会，负责本项目的评标工作。评标委员会推举产生评标委员会负责人。</w:t>
      </w:r>
    </w:p>
    <w:p w14:paraId="20DF732C">
      <w:pPr>
        <w:spacing w:line="360" w:lineRule="auto"/>
        <w:ind w:firstLine="480"/>
        <w:rPr>
          <w:sz w:val="24"/>
          <w:szCs w:val="24"/>
        </w:rPr>
      </w:pPr>
      <w:r>
        <w:rPr>
          <w:sz w:val="24"/>
          <w:szCs w:val="24"/>
        </w:rPr>
        <w:t>2.2.2各评委独立评审，提出评审意见，不受任何单位或者个人的干预。各评委对其各自评审结果负责，并在评标报告上签字确认；对评标结论持有异议的评标委员会成员可以阐述其不同意见和理由；评标委员会成员拒绝在评标报告上签字且不陈述其不同意见和理由的，视为同意评标结论，评标委员会应当对此作出说明并记录在案。</w:t>
      </w:r>
    </w:p>
    <w:p w14:paraId="3752257E">
      <w:pPr>
        <w:spacing w:line="360" w:lineRule="auto"/>
        <w:ind w:firstLine="480"/>
        <w:rPr>
          <w:sz w:val="24"/>
          <w:szCs w:val="24"/>
        </w:rPr>
      </w:pPr>
      <w:r>
        <w:rPr>
          <w:sz w:val="24"/>
          <w:szCs w:val="24"/>
        </w:rPr>
        <w:t>2.2.3评标委员会独立评审后，对投标人某项评审指标如有不同意见，按照少数服从多数的原则，确定该项评审指标的最终结论。</w:t>
      </w:r>
    </w:p>
    <w:p w14:paraId="657529B0">
      <w:pPr>
        <w:keepNext/>
        <w:keepLines/>
        <w:spacing w:before="260" w:after="260" w:line="415" w:lineRule="auto"/>
        <w:outlineLvl w:val="1"/>
        <w:rPr>
          <w:rFonts w:eastAsia="黑体"/>
          <w:b/>
          <w:bCs/>
          <w:sz w:val="32"/>
          <w:szCs w:val="32"/>
        </w:rPr>
      </w:pPr>
      <w:bookmarkStart w:id="90" w:name="_Toc25927"/>
      <w:bookmarkEnd w:id="90"/>
      <w:bookmarkStart w:id="91" w:name="_Toc36116855"/>
      <w:bookmarkEnd w:id="91"/>
      <w:bookmarkStart w:id="92" w:name="_Toc664"/>
      <w:bookmarkEnd w:id="92"/>
      <w:r>
        <w:rPr>
          <w:rFonts w:hint="eastAsia" w:eastAsia="黑体"/>
          <w:b/>
          <w:bCs/>
          <w:sz w:val="32"/>
          <w:szCs w:val="32"/>
        </w:rPr>
        <w:t>3. 评审标准</w:t>
      </w:r>
    </w:p>
    <w:p w14:paraId="5ACD39C0">
      <w:pPr>
        <w:keepNext/>
        <w:keepLines/>
        <w:spacing w:before="260" w:after="260" w:line="415" w:lineRule="auto"/>
        <w:outlineLvl w:val="2"/>
        <w:rPr>
          <w:b/>
          <w:bCs/>
          <w:sz w:val="32"/>
          <w:szCs w:val="32"/>
        </w:rPr>
      </w:pPr>
      <w:bookmarkStart w:id="93" w:name="_Toc6688"/>
      <w:bookmarkEnd w:id="93"/>
      <w:bookmarkStart w:id="94" w:name="_Toc3569"/>
      <w:bookmarkEnd w:id="94"/>
      <w:r>
        <w:rPr>
          <w:b/>
          <w:bCs/>
          <w:sz w:val="32"/>
          <w:szCs w:val="32"/>
        </w:rPr>
        <w:t>3.1 初步评审标准</w:t>
      </w:r>
    </w:p>
    <w:p w14:paraId="0E2D5B69">
      <w:pPr>
        <w:spacing w:line="360" w:lineRule="auto"/>
        <w:ind w:firstLine="480"/>
        <w:rPr>
          <w:sz w:val="24"/>
          <w:szCs w:val="24"/>
        </w:rPr>
      </w:pPr>
      <w:r>
        <w:rPr>
          <w:sz w:val="24"/>
          <w:szCs w:val="24"/>
        </w:rPr>
        <w:t>3.1.1 形式评审标准：见评标办法前附表一。</w:t>
      </w:r>
    </w:p>
    <w:p w14:paraId="7D188AC1">
      <w:pPr>
        <w:spacing w:line="360" w:lineRule="auto"/>
        <w:ind w:firstLine="480"/>
        <w:rPr>
          <w:sz w:val="24"/>
          <w:szCs w:val="24"/>
        </w:rPr>
      </w:pPr>
      <w:r>
        <w:rPr>
          <w:sz w:val="24"/>
          <w:szCs w:val="24"/>
        </w:rPr>
        <w:t>3.1.2 资格评审标准：见评标办法前附表一。</w:t>
      </w:r>
    </w:p>
    <w:p w14:paraId="3190167C">
      <w:pPr>
        <w:spacing w:line="360" w:lineRule="auto"/>
        <w:ind w:firstLine="480"/>
        <w:rPr>
          <w:sz w:val="24"/>
          <w:szCs w:val="24"/>
        </w:rPr>
      </w:pPr>
      <w:r>
        <w:rPr>
          <w:sz w:val="24"/>
          <w:szCs w:val="24"/>
        </w:rPr>
        <w:t>3.1.3 响应性评审标准：见评标办法前附表一。</w:t>
      </w:r>
    </w:p>
    <w:p w14:paraId="7FBB5CFF">
      <w:pPr>
        <w:keepNext/>
        <w:keepLines/>
        <w:spacing w:before="260" w:after="260" w:line="415" w:lineRule="auto"/>
        <w:outlineLvl w:val="2"/>
        <w:rPr>
          <w:b/>
          <w:bCs/>
          <w:sz w:val="32"/>
          <w:szCs w:val="32"/>
        </w:rPr>
      </w:pPr>
      <w:bookmarkStart w:id="95" w:name="_Toc27426"/>
      <w:bookmarkEnd w:id="95"/>
      <w:bookmarkStart w:id="96" w:name="_Toc11320"/>
      <w:bookmarkEnd w:id="96"/>
      <w:r>
        <w:rPr>
          <w:b/>
          <w:bCs/>
          <w:sz w:val="32"/>
          <w:szCs w:val="32"/>
        </w:rPr>
        <w:t>3.2分值构成与评分标准</w:t>
      </w:r>
    </w:p>
    <w:p w14:paraId="51EBAD8E">
      <w:pPr>
        <w:spacing w:line="360" w:lineRule="auto"/>
        <w:ind w:firstLine="480"/>
        <w:rPr>
          <w:sz w:val="24"/>
          <w:szCs w:val="24"/>
        </w:rPr>
      </w:pPr>
      <w:r>
        <w:rPr>
          <w:sz w:val="24"/>
          <w:szCs w:val="24"/>
        </w:rPr>
        <w:t>3.2.1 分值构成：见评标办法前附表二。</w:t>
      </w:r>
    </w:p>
    <w:p w14:paraId="596DF16F">
      <w:pPr>
        <w:spacing w:line="360" w:lineRule="auto"/>
        <w:ind w:firstLine="480"/>
        <w:rPr>
          <w:sz w:val="24"/>
          <w:szCs w:val="24"/>
        </w:rPr>
      </w:pPr>
      <w:r>
        <w:rPr>
          <w:sz w:val="24"/>
          <w:szCs w:val="24"/>
        </w:rPr>
        <w:t>3.2.2 评标基准价计算</w:t>
      </w:r>
    </w:p>
    <w:p w14:paraId="69D408C9">
      <w:pPr>
        <w:spacing w:line="360" w:lineRule="auto"/>
        <w:ind w:firstLine="480"/>
        <w:rPr>
          <w:sz w:val="24"/>
          <w:szCs w:val="24"/>
        </w:rPr>
      </w:pPr>
      <w:r>
        <w:rPr>
          <w:sz w:val="24"/>
          <w:szCs w:val="24"/>
        </w:rPr>
        <w:t>评标基准价计算方法：见评标办法前附表二。</w:t>
      </w:r>
    </w:p>
    <w:p w14:paraId="06620295">
      <w:pPr>
        <w:spacing w:line="360" w:lineRule="auto"/>
        <w:ind w:firstLine="480"/>
        <w:rPr>
          <w:sz w:val="24"/>
          <w:szCs w:val="24"/>
        </w:rPr>
      </w:pPr>
      <w:r>
        <w:rPr>
          <w:sz w:val="24"/>
          <w:szCs w:val="24"/>
        </w:rPr>
        <w:t>3.2.3 评分标准</w:t>
      </w:r>
    </w:p>
    <w:p w14:paraId="7909AF65">
      <w:pPr>
        <w:spacing w:line="360" w:lineRule="auto"/>
        <w:ind w:firstLine="480"/>
        <w:rPr>
          <w:sz w:val="24"/>
          <w:szCs w:val="24"/>
        </w:rPr>
      </w:pPr>
      <w:r>
        <w:rPr>
          <w:sz w:val="24"/>
          <w:szCs w:val="24"/>
        </w:rPr>
        <w:t>（1）技术部分评分标准：见评标办法前附表二。</w:t>
      </w:r>
    </w:p>
    <w:p w14:paraId="039AA869">
      <w:pPr>
        <w:spacing w:line="360" w:lineRule="auto"/>
        <w:ind w:firstLine="480"/>
        <w:rPr>
          <w:sz w:val="24"/>
          <w:szCs w:val="24"/>
        </w:rPr>
      </w:pPr>
      <w:r>
        <w:rPr>
          <w:sz w:val="24"/>
          <w:szCs w:val="24"/>
        </w:rPr>
        <w:t>（2）商务部分评分标准：见评标办法前附表二。</w:t>
      </w:r>
    </w:p>
    <w:p w14:paraId="5F3B7B37">
      <w:pPr>
        <w:keepNext/>
        <w:keepLines/>
        <w:spacing w:before="260" w:after="260" w:line="415" w:lineRule="auto"/>
        <w:outlineLvl w:val="1"/>
        <w:rPr>
          <w:rFonts w:eastAsia="黑体"/>
          <w:b/>
          <w:bCs/>
          <w:sz w:val="32"/>
          <w:szCs w:val="32"/>
        </w:rPr>
      </w:pPr>
      <w:bookmarkStart w:id="97" w:name="_Toc36116856"/>
      <w:bookmarkEnd w:id="97"/>
      <w:bookmarkStart w:id="98" w:name="_Toc23226"/>
      <w:bookmarkEnd w:id="98"/>
      <w:bookmarkStart w:id="99" w:name="_Toc29057"/>
      <w:bookmarkEnd w:id="99"/>
      <w:r>
        <w:rPr>
          <w:rFonts w:hint="eastAsia" w:eastAsia="黑体"/>
          <w:b/>
          <w:bCs/>
          <w:sz w:val="32"/>
          <w:szCs w:val="32"/>
        </w:rPr>
        <w:t>4. 评标程序</w:t>
      </w:r>
    </w:p>
    <w:p w14:paraId="07F2DA3B">
      <w:pPr>
        <w:keepNext/>
        <w:keepLines/>
        <w:spacing w:before="260" w:after="260" w:line="415" w:lineRule="auto"/>
        <w:outlineLvl w:val="2"/>
        <w:rPr>
          <w:b/>
          <w:bCs/>
          <w:sz w:val="32"/>
          <w:szCs w:val="32"/>
        </w:rPr>
      </w:pPr>
      <w:bookmarkStart w:id="100" w:name="_Toc10187"/>
      <w:bookmarkEnd w:id="100"/>
      <w:bookmarkStart w:id="101" w:name="_Toc18040"/>
      <w:bookmarkEnd w:id="101"/>
      <w:r>
        <w:rPr>
          <w:b/>
          <w:bCs/>
          <w:sz w:val="32"/>
          <w:szCs w:val="32"/>
        </w:rPr>
        <w:t>4.1 初步评审</w:t>
      </w:r>
    </w:p>
    <w:p w14:paraId="0AAAB678">
      <w:pPr>
        <w:spacing w:line="360" w:lineRule="auto"/>
        <w:ind w:firstLine="480"/>
        <w:rPr>
          <w:sz w:val="24"/>
          <w:szCs w:val="24"/>
        </w:rPr>
      </w:pPr>
      <w:r>
        <w:rPr>
          <w:sz w:val="24"/>
          <w:szCs w:val="24"/>
        </w:rPr>
        <w:t>4.1.1评标委员会依据本章第3.1款规定的标准对各投标人的技术文件进行初步评审。形式评审、资格评审和响应性评审均为符合性评审，有一项不符合评审标准的，评标委员会应当否决其投标。初步评审未通过的，不再进入详细评审。</w:t>
      </w:r>
    </w:p>
    <w:p w14:paraId="5226D370">
      <w:pPr>
        <w:spacing w:line="360" w:lineRule="auto"/>
        <w:ind w:firstLine="480"/>
        <w:rPr>
          <w:sz w:val="24"/>
          <w:szCs w:val="24"/>
        </w:rPr>
      </w:pPr>
      <w:r>
        <w:rPr>
          <w:sz w:val="24"/>
          <w:szCs w:val="24"/>
        </w:rPr>
        <w:t>4.1.2 否决投标的其他情形：</w:t>
      </w:r>
    </w:p>
    <w:p w14:paraId="368A5238">
      <w:pPr>
        <w:spacing w:line="360" w:lineRule="auto"/>
        <w:ind w:firstLine="480"/>
        <w:rPr>
          <w:sz w:val="24"/>
          <w:szCs w:val="24"/>
        </w:rPr>
      </w:pPr>
      <w:r>
        <w:rPr>
          <w:sz w:val="24"/>
          <w:szCs w:val="24"/>
        </w:rPr>
        <w:t>（1）第二章“投标人须知”第1.4.2项、第1.4.3项规定的任何一种情形的；</w:t>
      </w:r>
    </w:p>
    <w:p w14:paraId="738102B6">
      <w:pPr>
        <w:spacing w:line="360" w:lineRule="auto"/>
        <w:ind w:firstLine="480"/>
        <w:rPr>
          <w:sz w:val="24"/>
          <w:szCs w:val="24"/>
        </w:rPr>
      </w:pPr>
      <w:r>
        <w:rPr>
          <w:sz w:val="24"/>
          <w:szCs w:val="24"/>
        </w:rPr>
        <w:t>（2）串通投标或弄虚作假或有其他违法行为的；</w:t>
      </w:r>
    </w:p>
    <w:p w14:paraId="3751EE30">
      <w:pPr>
        <w:spacing w:line="360" w:lineRule="auto"/>
        <w:ind w:firstLine="480"/>
        <w:rPr>
          <w:sz w:val="24"/>
          <w:szCs w:val="24"/>
        </w:rPr>
      </w:pPr>
      <w:r>
        <w:rPr>
          <w:sz w:val="24"/>
          <w:szCs w:val="24"/>
        </w:rPr>
        <w:t>（3）不按评标委员会要求澄清、说明或补正的；</w:t>
      </w:r>
    </w:p>
    <w:p w14:paraId="5D2B7AD5">
      <w:pPr>
        <w:spacing w:line="360" w:lineRule="auto"/>
        <w:ind w:firstLine="480"/>
        <w:rPr>
          <w:szCs w:val="24"/>
        </w:rPr>
      </w:pPr>
      <w:r>
        <w:rPr>
          <w:sz w:val="24"/>
          <w:szCs w:val="24"/>
        </w:rPr>
        <w:t>（4）投标人的投标报价与公布的最高投标限价相比降幅过小，或投标人投标报价明显缺乏竞争性的，评标委员会可以否决所有投标。</w:t>
      </w:r>
    </w:p>
    <w:p w14:paraId="68141D96">
      <w:pPr>
        <w:keepNext/>
        <w:keepLines/>
        <w:spacing w:before="260" w:after="260" w:line="415" w:lineRule="auto"/>
        <w:outlineLvl w:val="2"/>
        <w:rPr>
          <w:b/>
          <w:bCs/>
          <w:sz w:val="32"/>
          <w:szCs w:val="32"/>
        </w:rPr>
      </w:pPr>
      <w:bookmarkStart w:id="102" w:name="_Toc25086"/>
      <w:bookmarkEnd w:id="102"/>
      <w:bookmarkStart w:id="103" w:name="_Toc2448"/>
      <w:bookmarkEnd w:id="103"/>
      <w:r>
        <w:rPr>
          <w:b/>
          <w:bCs/>
          <w:sz w:val="32"/>
          <w:szCs w:val="32"/>
        </w:rPr>
        <w:t>4.2 详细评审</w:t>
      </w:r>
    </w:p>
    <w:p w14:paraId="66BFE605">
      <w:pPr>
        <w:spacing w:line="360" w:lineRule="auto"/>
        <w:ind w:firstLine="480"/>
        <w:rPr>
          <w:sz w:val="24"/>
          <w:szCs w:val="24"/>
        </w:rPr>
      </w:pPr>
      <w:r>
        <w:rPr>
          <w:sz w:val="24"/>
          <w:szCs w:val="24"/>
        </w:rPr>
        <w:t>4.2.1 评标委员会按照本章第3.2款规定的量化因素和分值进行打分，并计算出综合评估得分。</w:t>
      </w:r>
    </w:p>
    <w:p w14:paraId="6AE8488C">
      <w:pPr>
        <w:spacing w:line="360" w:lineRule="auto"/>
        <w:ind w:firstLine="480"/>
        <w:rPr>
          <w:sz w:val="24"/>
          <w:szCs w:val="24"/>
        </w:rPr>
      </w:pPr>
      <w:r>
        <w:rPr>
          <w:sz w:val="24"/>
          <w:szCs w:val="24"/>
        </w:rPr>
        <w:t>（1）按本章第3.2.3（1）目规定的评分因素和分值计算出技术部分得分A；</w:t>
      </w:r>
    </w:p>
    <w:p w14:paraId="6C3410ED">
      <w:pPr>
        <w:spacing w:line="360" w:lineRule="auto"/>
        <w:ind w:firstLine="480"/>
        <w:rPr>
          <w:sz w:val="24"/>
          <w:szCs w:val="24"/>
        </w:rPr>
      </w:pPr>
      <w:r>
        <w:rPr>
          <w:sz w:val="24"/>
          <w:szCs w:val="24"/>
        </w:rPr>
        <w:t>（2）按本章第3.2.3（2）目规定的评分因素和分值计算出商务部分得分B。</w:t>
      </w:r>
    </w:p>
    <w:p w14:paraId="247A4DDC">
      <w:pPr>
        <w:spacing w:line="360" w:lineRule="auto"/>
        <w:ind w:firstLine="480"/>
        <w:rPr>
          <w:sz w:val="24"/>
          <w:szCs w:val="24"/>
        </w:rPr>
      </w:pPr>
      <w:r>
        <w:rPr>
          <w:sz w:val="24"/>
          <w:szCs w:val="24"/>
        </w:rPr>
        <w:t>4.2.2 评分分值计算保留小数点后两位，小数点后第三位“四舍五入”。</w:t>
      </w:r>
    </w:p>
    <w:p w14:paraId="0309AAD8">
      <w:pPr>
        <w:spacing w:line="360" w:lineRule="auto"/>
        <w:ind w:firstLine="480"/>
        <w:rPr>
          <w:sz w:val="24"/>
          <w:szCs w:val="24"/>
        </w:rPr>
      </w:pPr>
      <w:r>
        <w:rPr>
          <w:sz w:val="24"/>
          <w:szCs w:val="24"/>
        </w:rPr>
        <w:t>4.2.3 投标人得分= A+B。</w:t>
      </w:r>
    </w:p>
    <w:p w14:paraId="24EBE39B">
      <w:pPr>
        <w:spacing w:line="360" w:lineRule="auto"/>
        <w:ind w:firstLine="480"/>
        <w:rPr>
          <w:sz w:val="24"/>
          <w:szCs w:val="24"/>
        </w:rPr>
      </w:pPr>
      <w:r>
        <w:rPr>
          <w:sz w:val="24"/>
          <w:szCs w:val="24"/>
        </w:rPr>
        <w:t>4.2.4 评标委员会发现投标人的报价明显低于其他投标报价，使得其投标报价可能低于其成本的，应当要求该投标人作出书面说明并提供相应的证明材料。投标人不能合理说明或者不能提供相应证明材料的，评标委员会应当认定该投标人以低于成本报价竞标，否决其投标。</w:t>
      </w:r>
    </w:p>
    <w:p w14:paraId="08878190">
      <w:pPr>
        <w:keepNext/>
        <w:keepLines/>
        <w:spacing w:before="260" w:after="260" w:line="415" w:lineRule="auto"/>
        <w:outlineLvl w:val="2"/>
        <w:rPr>
          <w:b/>
          <w:bCs/>
          <w:sz w:val="32"/>
          <w:szCs w:val="32"/>
        </w:rPr>
      </w:pPr>
      <w:bookmarkStart w:id="104" w:name="_Toc12385"/>
      <w:bookmarkEnd w:id="104"/>
      <w:bookmarkStart w:id="105" w:name="_Toc10500"/>
      <w:bookmarkEnd w:id="105"/>
      <w:r>
        <w:rPr>
          <w:b/>
          <w:bCs/>
          <w:sz w:val="32"/>
          <w:szCs w:val="32"/>
        </w:rPr>
        <w:t>4.3 投标文件的澄清说明、补正和报价修正</w:t>
      </w:r>
    </w:p>
    <w:p w14:paraId="51822A08">
      <w:pPr>
        <w:spacing w:line="360" w:lineRule="auto"/>
        <w:ind w:firstLine="480"/>
        <w:rPr>
          <w:sz w:val="24"/>
          <w:szCs w:val="24"/>
        </w:rPr>
      </w:pPr>
      <w:r>
        <w:rPr>
          <w:sz w:val="24"/>
          <w:szCs w:val="24"/>
        </w:rPr>
        <w:t>4.3.1在评标过程中，评标委员会可以书面形式要求投标人对投标文件中含义不明确、对同类问题表述不一致或者有明显文字和计算错误的内容作必要的澄清、说明或补正。评标委员会不接受投标人主动提出的澄清、说明或补正。</w:t>
      </w:r>
    </w:p>
    <w:p w14:paraId="09936201">
      <w:pPr>
        <w:spacing w:line="360" w:lineRule="auto"/>
        <w:ind w:firstLine="480"/>
        <w:rPr>
          <w:sz w:val="24"/>
          <w:szCs w:val="24"/>
        </w:rPr>
      </w:pPr>
      <w:r>
        <w:rPr>
          <w:sz w:val="24"/>
          <w:szCs w:val="24"/>
        </w:rPr>
        <w:t>4.3.2投标人必须在规定的合理时间内将澄清、说明或补正内容提交评标委员会，评标委员会将对澄清、说明或补正内容评审后决定是否符合要求并现场告知。澄清时间自评标委员会要求时间起最多不超过15分钟。在规定时间内未按评标委员会要求进行澄清、说明或补正内容的视同投标人放弃澄清、说明或补正内容权利，评标委员会可按对投标人不利的解释去进行判定。</w:t>
      </w:r>
    </w:p>
    <w:p w14:paraId="762385D2">
      <w:pPr>
        <w:spacing w:line="360" w:lineRule="auto"/>
        <w:ind w:firstLine="480"/>
        <w:rPr>
          <w:sz w:val="24"/>
          <w:szCs w:val="24"/>
        </w:rPr>
      </w:pPr>
      <w:r>
        <w:rPr>
          <w:sz w:val="24"/>
          <w:szCs w:val="24"/>
        </w:rPr>
        <w:t>4.3.3澄清、说明或补正不得超出投标文件的范围且不得改变投标文件的实质性内容（算术性错误修正的除外），并构成投标文件的组成部分。</w:t>
      </w:r>
    </w:p>
    <w:p w14:paraId="4BD1B1BD">
      <w:pPr>
        <w:spacing w:line="360" w:lineRule="auto"/>
        <w:ind w:firstLine="480"/>
        <w:rPr>
          <w:sz w:val="24"/>
          <w:szCs w:val="24"/>
        </w:rPr>
      </w:pPr>
      <w:r>
        <w:rPr>
          <w:sz w:val="24"/>
          <w:szCs w:val="24"/>
        </w:rPr>
        <w:t>4.3.4 评标委员会对投标人提交的澄清、说明或补正有疑问的，可以要求投标人进一步澄清、说明或补正，直至满足评标委员会的要求。</w:t>
      </w:r>
    </w:p>
    <w:p w14:paraId="469C8197">
      <w:pPr>
        <w:spacing w:line="360" w:lineRule="auto"/>
        <w:ind w:firstLine="480"/>
        <w:rPr>
          <w:sz w:val="24"/>
          <w:szCs w:val="24"/>
          <w:shd w:val="clear" w:color="auto" w:fill="FFFFFF"/>
        </w:rPr>
      </w:pPr>
      <w:r>
        <w:rPr>
          <w:sz w:val="24"/>
          <w:szCs w:val="24"/>
          <w:shd w:val="clear" w:color="auto" w:fill="FFFFFF"/>
        </w:rPr>
        <w:t xml:space="preserve">4.3.5 投标报价有算术错误及其他错误的，评标委员会按以下原则对投标报价进行修正，修正的价格经投标人书面确认后具有约束力，投标人拒不澄清确认或不接受修正价格的，评标委员会应当否决其投标： </w:t>
      </w:r>
    </w:p>
    <w:p w14:paraId="7D246734">
      <w:pPr>
        <w:spacing w:line="360" w:lineRule="auto"/>
        <w:ind w:firstLine="480"/>
        <w:rPr>
          <w:sz w:val="24"/>
          <w:szCs w:val="24"/>
          <w:shd w:val="clear" w:color="auto" w:fill="FFFFFF"/>
        </w:rPr>
      </w:pPr>
      <w:r>
        <w:rPr>
          <w:sz w:val="24"/>
          <w:szCs w:val="24"/>
          <w:shd w:val="clear" w:color="auto" w:fill="FFFFFF"/>
        </w:rPr>
        <w:t>（1）投标文件中的大写金额与小写金额不一致的，以大写金额为准；</w:t>
      </w:r>
    </w:p>
    <w:p w14:paraId="78981E90">
      <w:pPr>
        <w:spacing w:line="360" w:lineRule="auto"/>
        <w:ind w:firstLine="480"/>
        <w:rPr>
          <w:sz w:val="24"/>
          <w:szCs w:val="24"/>
          <w:shd w:val="clear" w:color="auto" w:fill="FFFFFF"/>
        </w:rPr>
      </w:pPr>
      <w:r>
        <w:rPr>
          <w:sz w:val="24"/>
          <w:szCs w:val="24"/>
          <w:shd w:val="clear" w:color="auto" w:fill="FFFFFF"/>
        </w:rPr>
        <w:t>（2）总价金额与单价金额不一致的，以单价金额为准，但单价金额小数点有明显错误的除外；</w:t>
      </w:r>
    </w:p>
    <w:p w14:paraId="7ED97112">
      <w:pPr>
        <w:spacing w:line="360" w:lineRule="auto"/>
        <w:ind w:firstLine="480"/>
        <w:rPr>
          <w:sz w:val="24"/>
          <w:szCs w:val="24"/>
          <w:shd w:val="clear" w:color="auto" w:fill="FFFFFF"/>
        </w:rPr>
      </w:pPr>
      <w:r>
        <w:rPr>
          <w:sz w:val="24"/>
          <w:szCs w:val="24"/>
          <w:shd w:val="clear" w:color="auto" w:fill="FFFFFF"/>
        </w:rPr>
        <w:t>（3）投标报价为各分项报价金额之和，投标报价与分项报价的合价不一致的，应以各分项合价累计数为准，修正投标报价；</w:t>
      </w:r>
    </w:p>
    <w:p w14:paraId="76D3BBFE">
      <w:pPr>
        <w:spacing w:line="360" w:lineRule="auto"/>
        <w:ind w:firstLine="480"/>
        <w:rPr>
          <w:sz w:val="24"/>
          <w:szCs w:val="24"/>
          <w:shd w:val="clear" w:color="auto" w:fill="FFFFFF"/>
        </w:rPr>
      </w:pPr>
      <w:r>
        <w:rPr>
          <w:sz w:val="24"/>
          <w:szCs w:val="24"/>
          <w:shd w:val="clear" w:color="auto" w:fill="FFFFFF"/>
        </w:rPr>
        <w:t>（4）如果分项报价中存在缺漏项，则视为缺漏项价格已包含在其他分项报价之中。</w:t>
      </w:r>
    </w:p>
    <w:p w14:paraId="33DFF43D">
      <w:pPr>
        <w:keepNext/>
        <w:keepLines/>
        <w:spacing w:before="260" w:after="260" w:line="415" w:lineRule="auto"/>
        <w:outlineLvl w:val="2"/>
        <w:rPr>
          <w:b/>
          <w:bCs/>
          <w:sz w:val="32"/>
          <w:szCs w:val="32"/>
        </w:rPr>
      </w:pPr>
      <w:bookmarkStart w:id="106" w:name="_Toc27314"/>
      <w:bookmarkEnd w:id="106"/>
      <w:bookmarkStart w:id="107" w:name="_Toc17508"/>
      <w:bookmarkEnd w:id="107"/>
      <w:r>
        <w:rPr>
          <w:b/>
          <w:bCs/>
          <w:sz w:val="32"/>
          <w:szCs w:val="32"/>
        </w:rPr>
        <w:t>4.4 评标结果</w:t>
      </w:r>
    </w:p>
    <w:p w14:paraId="31A99078">
      <w:pPr>
        <w:spacing w:line="360" w:lineRule="auto"/>
        <w:ind w:firstLine="480"/>
        <w:rPr>
          <w:sz w:val="24"/>
          <w:szCs w:val="24"/>
        </w:rPr>
      </w:pPr>
      <w:r>
        <w:rPr>
          <w:sz w:val="24"/>
          <w:szCs w:val="24"/>
        </w:rPr>
        <w:t>4.4.1评标委员会按照得分由高到低的顺序推荐1~2名中标候选人（标明排列顺序），或根据招标人授权直接确定中标人。</w:t>
      </w:r>
    </w:p>
    <w:p w14:paraId="511809EF">
      <w:pPr>
        <w:spacing w:line="360" w:lineRule="auto"/>
        <w:ind w:firstLine="480"/>
        <w:rPr>
          <w:sz w:val="24"/>
          <w:szCs w:val="24"/>
        </w:rPr>
      </w:pPr>
      <w:r>
        <w:rPr>
          <w:sz w:val="24"/>
          <w:szCs w:val="24"/>
        </w:rPr>
        <w:t>4.4.2 评标委员会完成评标后，应当向招标人提交书面评标报告。评标报告是评标委员会根据全体评标成员签字的原始评标记录和评标结果编写的报告，评标委员会全体成员及监督员均须在评标报告上签字。评标报告应如实记录本次评标的主要过程，全面反映评标过程中的各种不同的意见，以及其他澄清、说明、补正事项。</w:t>
      </w:r>
    </w:p>
    <w:p w14:paraId="2241F476">
      <w:pPr>
        <w:keepNext/>
        <w:keepLines/>
        <w:spacing w:before="260" w:after="260" w:line="415" w:lineRule="auto"/>
        <w:outlineLvl w:val="1"/>
        <w:rPr>
          <w:rFonts w:eastAsia="黑体"/>
          <w:b/>
          <w:bCs/>
          <w:sz w:val="32"/>
          <w:szCs w:val="32"/>
        </w:rPr>
      </w:pPr>
      <w:bookmarkStart w:id="108" w:name="_Toc13823"/>
      <w:bookmarkEnd w:id="108"/>
      <w:bookmarkStart w:id="109" w:name="_Toc10562"/>
      <w:bookmarkEnd w:id="109"/>
      <w:bookmarkStart w:id="110" w:name="_Toc36116857"/>
      <w:bookmarkEnd w:id="110"/>
      <w:r>
        <w:rPr>
          <w:rFonts w:hint="eastAsia" w:eastAsia="黑体"/>
          <w:b/>
          <w:bCs/>
          <w:sz w:val="32"/>
          <w:szCs w:val="32"/>
        </w:rPr>
        <w:t>5. 其他</w:t>
      </w:r>
    </w:p>
    <w:p w14:paraId="574C1627">
      <w:pPr>
        <w:spacing w:line="360" w:lineRule="auto"/>
        <w:ind w:firstLine="480"/>
        <w:rPr>
          <w:rFonts w:eastAsia="黑体"/>
          <w:snapToGrid w:val="0"/>
          <w:color w:val="000000"/>
          <w:kern w:val="44"/>
          <w:sz w:val="44"/>
          <w:szCs w:val="42"/>
          <w:lang w:val="zh-CN"/>
        </w:rPr>
      </w:pPr>
      <w:r>
        <w:rPr>
          <w:sz w:val="24"/>
          <w:szCs w:val="24"/>
        </w:rPr>
        <w:t>投标人提供的与投标有关的各类证书、证明、文件、资料等的真实性、合法性由投标人负全责。如发现投标人有弄虚作假或提供不实信息的行为，无论在投标有效期内还是在工程实施过程中，一经发现，将被取消其中标资格或终止合同，视为投标人不诚信行为。</w:t>
      </w:r>
      <w:r>
        <w:rPr>
          <w:rFonts w:eastAsia="黑体"/>
          <w:snapToGrid w:val="0"/>
          <w:color w:val="000000"/>
          <w:kern w:val="44"/>
          <w:sz w:val="44"/>
          <w:szCs w:val="42"/>
          <w:lang w:val="zh-CN"/>
        </w:rPr>
        <w:br w:type="page"/>
      </w:r>
    </w:p>
    <w:p w14:paraId="1CFAB45B">
      <w:pPr>
        <w:pStyle w:val="21"/>
        <w:keepNext/>
        <w:keepLines/>
        <w:shd w:val="clear" w:color="auto" w:fill="auto"/>
        <w:spacing w:after="586" w:line="240" w:lineRule="auto"/>
        <w:ind w:left="20"/>
        <w:outlineLvl w:val="0"/>
        <w:rPr>
          <w:rFonts w:ascii="Times New Roman" w:eastAsia="黑体"/>
          <w:bCs w:val="0"/>
          <w:snapToGrid w:val="0"/>
          <w:color w:val="000000"/>
          <w:kern w:val="44"/>
          <w:sz w:val="44"/>
          <w:szCs w:val="42"/>
          <w:lang w:val="zh-CN"/>
        </w:rPr>
      </w:pPr>
      <w:bookmarkStart w:id="111" w:name="_Toc25930"/>
      <w:r>
        <w:rPr>
          <w:rFonts w:ascii="Times New Roman" w:eastAsia="黑体"/>
          <w:bCs w:val="0"/>
          <w:snapToGrid w:val="0"/>
          <w:color w:val="000000"/>
          <w:kern w:val="44"/>
          <w:sz w:val="44"/>
          <w:szCs w:val="42"/>
          <w:lang w:val="zh-CN"/>
        </w:rPr>
        <w:t>第四章</w:t>
      </w:r>
      <w:r>
        <w:rPr>
          <w:rFonts w:hint="eastAsia" w:ascii="Times New Roman" w:eastAsia="黑体"/>
          <w:bCs w:val="0"/>
          <w:snapToGrid w:val="0"/>
          <w:color w:val="000000"/>
          <w:kern w:val="44"/>
          <w:sz w:val="44"/>
          <w:szCs w:val="42"/>
          <w:lang w:val="zh-CN"/>
        </w:rPr>
        <w:t xml:space="preserve"> </w:t>
      </w:r>
      <w:r>
        <w:rPr>
          <w:rFonts w:ascii="Times New Roman" w:eastAsia="黑体"/>
          <w:bCs w:val="0"/>
          <w:snapToGrid w:val="0"/>
          <w:color w:val="000000"/>
          <w:kern w:val="44"/>
          <w:sz w:val="44"/>
          <w:szCs w:val="42"/>
          <w:lang w:val="zh-CN"/>
        </w:rPr>
        <w:t>合同条款及格式</w:t>
      </w:r>
      <w:bookmarkEnd w:id="79"/>
      <w:bookmarkEnd w:id="80"/>
      <w:bookmarkEnd w:id="81"/>
      <w:bookmarkEnd w:id="111"/>
    </w:p>
    <w:p w14:paraId="58E5C6E5">
      <w:pPr>
        <w:spacing w:line="600" w:lineRule="exact"/>
        <w:ind w:firstLine="1566" w:firstLineChars="300"/>
        <w:rPr>
          <w:rFonts w:ascii="仿宋_GB2312" w:eastAsia="仿宋_GB2312"/>
          <w:b/>
          <w:sz w:val="52"/>
          <w:szCs w:val="52"/>
        </w:rPr>
      </w:pPr>
    </w:p>
    <w:bookmarkEnd w:id="82"/>
    <w:p w14:paraId="020C361B">
      <w:pPr>
        <w:spacing w:line="600" w:lineRule="exact"/>
        <w:jc w:val="center"/>
        <w:rPr>
          <w:rFonts w:hint="eastAsia" w:ascii="楷体_GB2312" w:hAnsi="楷体_GB2312" w:eastAsia="楷体_GB2312" w:cs="楷体_GB2312"/>
          <w:b/>
          <w:sz w:val="48"/>
          <w:szCs w:val="48"/>
          <w:u w:val="single"/>
        </w:rPr>
      </w:pPr>
      <w:bookmarkStart w:id="112" w:name="_Toc11223"/>
      <w:bookmarkStart w:id="113" w:name="_Toc32723"/>
      <w:bookmarkStart w:id="114" w:name="_Toc19999"/>
      <w:bookmarkStart w:id="115" w:name="_Toc14211"/>
      <w:r>
        <w:rPr>
          <w:rFonts w:hint="eastAsia" w:ascii="楷体_GB2312" w:hAnsi="楷体_GB2312" w:eastAsia="楷体_GB2312" w:cs="楷体_GB2312"/>
          <w:b/>
          <w:sz w:val="48"/>
          <w:szCs w:val="48"/>
          <w:u w:val="single"/>
        </w:rPr>
        <w:t>XXX工程专业分包合同</w:t>
      </w:r>
    </w:p>
    <w:p w14:paraId="29846767">
      <w:pPr>
        <w:jc w:val="center"/>
        <w:rPr>
          <w:b/>
          <w:sz w:val="36"/>
          <w:szCs w:val="36"/>
        </w:rPr>
      </w:pPr>
    </w:p>
    <w:p w14:paraId="577F99BC">
      <w:pPr>
        <w:jc w:val="center"/>
        <w:rPr>
          <w:b/>
          <w:sz w:val="36"/>
          <w:szCs w:val="36"/>
        </w:rPr>
      </w:pPr>
    </w:p>
    <w:p w14:paraId="55399E6F">
      <w:pPr>
        <w:jc w:val="center"/>
        <w:rPr>
          <w:b/>
          <w:sz w:val="36"/>
          <w:szCs w:val="36"/>
        </w:rPr>
      </w:pPr>
    </w:p>
    <w:p w14:paraId="1E7FD9B3">
      <w:pPr>
        <w:jc w:val="center"/>
        <w:rPr>
          <w:b/>
          <w:sz w:val="36"/>
          <w:szCs w:val="36"/>
        </w:rPr>
      </w:pPr>
    </w:p>
    <w:p w14:paraId="29CF658C">
      <w:pPr>
        <w:jc w:val="center"/>
        <w:rPr>
          <w:b/>
          <w:sz w:val="36"/>
          <w:szCs w:val="36"/>
        </w:rPr>
      </w:pPr>
    </w:p>
    <w:p w14:paraId="14776435">
      <w:pPr>
        <w:spacing w:line="480" w:lineRule="auto"/>
        <w:jc w:val="left"/>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工程承包人：</w:t>
      </w:r>
    </w:p>
    <w:p w14:paraId="434C0F82">
      <w:pPr>
        <w:spacing w:line="480" w:lineRule="auto"/>
        <w:jc w:val="left"/>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工程分包人：</w:t>
      </w:r>
    </w:p>
    <w:p w14:paraId="57FBC84A">
      <w:pPr>
        <w:spacing w:line="480" w:lineRule="auto"/>
        <w:jc w:val="left"/>
        <w:rPr>
          <w:rFonts w:hint="eastAsia" w:ascii="楷体_GB2312" w:hAnsi="楷体_GB2312" w:eastAsia="楷体_GB2312" w:cs="楷体_GB2312"/>
          <w:b/>
          <w:spacing w:val="28"/>
          <w:kern w:val="0"/>
          <w:sz w:val="32"/>
          <w:szCs w:val="32"/>
        </w:rPr>
      </w:pPr>
      <w:r>
        <w:rPr>
          <w:rFonts w:hint="eastAsia" w:ascii="楷体_GB2312" w:hAnsi="楷体_GB2312" w:eastAsia="楷体_GB2312" w:cs="楷体_GB2312"/>
          <w:b/>
          <w:spacing w:val="28"/>
          <w:kern w:val="0"/>
          <w:sz w:val="32"/>
          <w:szCs w:val="32"/>
        </w:rPr>
        <w:t>签订地点：</w:t>
      </w:r>
    </w:p>
    <w:p w14:paraId="713FA575">
      <w:pPr>
        <w:spacing w:line="480" w:lineRule="auto"/>
        <w:jc w:val="left"/>
        <w:rPr>
          <w:rFonts w:hint="eastAsia" w:ascii="楷体_GB2312" w:hAnsi="楷体_GB2312" w:eastAsia="楷体_GB2312" w:cs="楷体_GB2312"/>
          <w:b/>
          <w:kern w:val="0"/>
          <w:sz w:val="32"/>
          <w:szCs w:val="32"/>
        </w:rPr>
      </w:pPr>
      <w:r>
        <w:rPr>
          <w:rFonts w:hint="eastAsia" w:ascii="楷体_GB2312" w:hAnsi="楷体_GB2312" w:eastAsia="楷体_GB2312" w:cs="楷体_GB2312"/>
          <w:b/>
          <w:spacing w:val="28"/>
          <w:kern w:val="0"/>
          <w:sz w:val="32"/>
          <w:szCs w:val="32"/>
        </w:rPr>
        <w:t xml:space="preserve">签订日期：  </w:t>
      </w:r>
      <w:r>
        <w:rPr>
          <w:rFonts w:hint="eastAsia" w:ascii="楷体_GB2312" w:hAnsi="楷体_GB2312" w:eastAsia="楷体_GB2312" w:cs="楷体_GB2312"/>
          <w:b/>
          <w:kern w:val="0"/>
          <w:sz w:val="32"/>
          <w:szCs w:val="32"/>
        </w:rPr>
        <w:t>年  月  日</w:t>
      </w:r>
    </w:p>
    <w:p w14:paraId="31BB6CE5">
      <w:pPr>
        <w:rPr>
          <w:rFonts w:hint="eastAsia" w:ascii="宋体" w:hAnsi="宋体"/>
          <w:b/>
          <w:sz w:val="24"/>
          <w:szCs w:val="24"/>
        </w:rPr>
      </w:pPr>
      <w:r>
        <w:rPr>
          <w:rFonts w:hint="eastAsia"/>
          <w:b/>
          <w:sz w:val="36"/>
          <w:szCs w:val="36"/>
        </w:rPr>
        <w:br w:type="page"/>
      </w:r>
    </w:p>
    <w:p w14:paraId="7E4D5C89">
      <w:pPr>
        <w:tabs>
          <w:tab w:val="left" w:pos="2310"/>
        </w:tabs>
        <w:spacing w:line="560" w:lineRule="exact"/>
        <w:jc w:val="center"/>
        <w:rPr>
          <w:rFonts w:hint="eastAsia" w:ascii="仿宋_GB2312" w:hAnsi="仿宋_GB2312" w:eastAsia="仿宋_GB2312" w:cs="仿宋_GB2312"/>
          <w:b/>
          <w:bCs/>
          <w:sz w:val="48"/>
          <w:szCs w:val="48"/>
        </w:rPr>
      </w:pPr>
      <w:r>
        <w:rPr>
          <w:rFonts w:ascii="宋体" w:hAnsi="宋体"/>
          <w:sz w:val="32"/>
          <w:szCs w:val="40"/>
        </w:rPr>
        <w:t>目录</w:t>
      </w:r>
    </w:p>
    <w:sdt>
      <w:sdtPr>
        <w:rPr>
          <w:rFonts w:ascii="宋体" w:hAnsi="宋体" w:cstheme="minorBidi"/>
          <w:sz w:val="28"/>
          <w:szCs w:val="36"/>
        </w:rPr>
        <w:id w:val="147469120"/>
        <w15:color w:val="DBDBDB"/>
        <w:docPartObj>
          <w:docPartGallery w:val="Table of Contents"/>
          <w:docPartUnique/>
        </w:docPartObj>
      </w:sdtPr>
      <w:sdtEndPr>
        <w:rPr>
          <w:rFonts w:hint="eastAsia" w:ascii="仿宋_GB2312" w:hAnsi="仿宋_GB2312" w:eastAsia="仿宋_GB2312" w:cs="仿宋_GB2312"/>
          <w:bCs/>
          <w:sz w:val="24"/>
          <w:szCs w:val="44"/>
        </w:rPr>
      </w:sdtEndPr>
      <w:sdtContent>
        <w:p w14:paraId="78E401AE">
          <w:pPr>
            <w:jc w:val="center"/>
            <w:rPr>
              <w:sz w:val="36"/>
              <w:szCs w:val="36"/>
            </w:rPr>
          </w:pPr>
        </w:p>
        <w:p w14:paraId="5E21719C">
          <w:pPr>
            <w:pStyle w:val="13"/>
            <w:tabs>
              <w:tab w:val="right" w:leader="dot" w:pos="8300"/>
              <w:tab w:val="clear" w:pos="8296"/>
            </w:tabs>
          </w:pPr>
          <w:r>
            <w:rPr>
              <w:rFonts w:hint="eastAsia" w:ascii="仿宋_GB2312" w:hAnsi="仿宋_GB2312" w:eastAsia="仿宋_GB2312" w:cs="仿宋_GB2312"/>
              <w:sz w:val="44"/>
              <w:szCs w:val="44"/>
            </w:rPr>
            <w:fldChar w:fldCharType="begin"/>
          </w:r>
          <w:r>
            <w:rPr>
              <w:rFonts w:hint="eastAsia" w:ascii="仿宋_GB2312" w:hAnsi="仿宋_GB2312" w:eastAsia="仿宋_GB2312" w:cs="仿宋_GB2312"/>
              <w:sz w:val="44"/>
              <w:szCs w:val="44"/>
            </w:rPr>
            <w:instrText xml:space="preserve">TOC \o "1-1" \h \u </w:instrText>
          </w:r>
          <w:r>
            <w:rPr>
              <w:rFonts w:hint="eastAsia" w:ascii="仿宋_GB2312" w:hAnsi="仿宋_GB2312" w:eastAsia="仿宋_GB2312" w:cs="仿宋_GB2312"/>
              <w:sz w:val="44"/>
              <w:szCs w:val="44"/>
            </w:rPr>
            <w:fldChar w:fldCharType="separate"/>
          </w:r>
          <w:r>
            <w:fldChar w:fldCharType="begin"/>
          </w:r>
          <w:r>
            <w:instrText xml:space="preserve"> HYPERLINK \l "_Toc29304" </w:instrText>
          </w:r>
          <w:r>
            <w:fldChar w:fldCharType="separate"/>
          </w:r>
          <w:r>
            <w:rPr>
              <w:rFonts w:hint="eastAsia" w:ascii="仿宋_GB2312" w:hAnsi="仿宋_GB2312" w:eastAsia="仿宋_GB2312" w:cs="仿宋_GB2312"/>
            </w:rPr>
            <w:t>第一条 乙方资质、注册情况及纳税身份情况</w:t>
          </w:r>
          <w:r>
            <w:tab/>
          </w:r>
          <w:r>
            <w:fldChar w:fldCharType="begin"/>
          </w:r>
          <w:r>
            <w:instrText xml:space="preserve"> PAGEREF _Toc29304 \h </w:instrText>
          </w:r>
          <w:r>
            <w:fldChar w:fldCharType="separate"/>
          </w:r>
          <w:r>
            <w:t>1</w:t>
          </w:r>
          <w:r>
            <w:fldChar w:fldCharType="end"/>
          </w:r>
          <w:r>
            <w:fldChar w:fldCharType="end"/>
          </w:r>
        </w:p>
        <w:p w14:paraId="4410622F">
          <w:pPr>
            <w:pStyle w:val="13"/>
            <w:tabs>
              <w:tab w:val="right" w:leader="dot" w:pos="8300"/>
              <w:tab w:val="clear" w:pos="8296"/>
            </w:tabs>
          </w:pPr>
          <w:r>
            <w:fldChar w:fldCharType="begin"/>
          </w:r>
          <w:r>
            <w:instrText xml:space="preserve"> HYPERLINK \l "_Toc21909" </w:instrText>
          </w:r>
          <w:r>
            <w:fldChar w:fldCharType="separate"/>
          </w:r>
          <w:r>
            <w:rPr>
              <w:rFonts w:hint="eastAsia" w:ascii="仿宋_GB2312" w:hAnsi="仿宋_GB2312" w:eastAsia="仿宋_GB2312" w:cs="仿宋_GB2312"/>
            </w:rPr>
            <w:t>第二条 工程概况</w:t>
          </w:r>
          <w:r>
            <w:tab/>
          </w:r>
          <w:r>
            <w:fldChar w:fldCharType="begin"/>
          </w:r>
          <w:r>
            <w:instrText xml:space="preserve"> PAGEREF _Toc21909 \h </w:instrText>
          </w:r>
          <w:r>
            <w:fldChar w:fldCharType="separate"/>
          </w:r>
          <w:r>
            <w:t>1</w:t>
          </w:r>
          <w:r>
            <w:fldChar w:fldCharType="end"/>
          </w:r>
          <w:r>
            <w:fldChar w:fldCharType="end"/>
          </w:r>
        </w:p>
        <w:p w14:paraId="43939039">
          <w:pPr>
            <w:pStyle w:val="13"/>
            <w:tabs>
              <w:tab w:val="right" w:leader="dot" w:pos="8300"/>
              <w:tab w:val="clear" w:pos="8296"/>
            </w:tabs>
          </w:pPr>
          <w:r>
            <w:fldChar w:fldCharType="begin"/>
          </w:r>
          <w:r>
            <w:instrText xml:space="preserve"> HYPERLINK \l "_Toc1781" </w:instrText>
          </w:r>
          <w:r>
            <w:fldChar w:fldCharType="separate"/>
          </w:r>
          <w:r>
            <w:rPr>
              <w:rFonts w:hint="eastAsia" w:ascii="仿宋_GB2312" w:hAnsi="仿宋_GB2312" w:eastAsia="仿宋_GB2312" w:cs="仿宋_GB2312"/>
            </w:rPr>
            <w:t>第三条 分包合同价款</w:t>
          </w:r>
          <w:r>
            <w:tab/>
          </w:r>
          <w:r>
            <w:fldChar w:fldCharType="begin"/>
          </w:r>
          <w:r>
            <w:instrText xml:space="preserve"> PAGEREF _Toc1781 \h </w:instrText>
          </w:r>
          <w:r>
            <w:fldChar w:fldCharType="separate"/>
          </w:r>
          <w:r>
            <w:t>2</w:t>
          </w:r>
          <w:r>
            <w:fldChar w:fldCharType="end"/>
          </w:r>
          <w:r>
            <w:fldChar w:fldCharType="end"/>
          </w:r>
        </w:p>
        <w:p w14:paraId="0F10AACF">
          <w:pPr>
            <w:pStyle w:val="13"/>
            <w:tabs>
              <w:tab w:val="right" w:leader="dot" w:pos="8300"/>
              <w:tab w:val="clear" w:pos="8296"/>
            </w:tabs>
          </w:pPr>
          <w:r>
            <w:fldChar w:fldCharType="begin"/>
          </w:r>
          <w:r>
            <w:instrText xml:space="preserve"> HYPERLINK \l "_Toc3679" </w:instrText>
          </w:r>
          <w:r>
            <w:fldChar w:fldCharType="separate"/>
          </w:r>
          <w:r>
            <w:rPr>
              <w:rFonts w:hint="eastAsia" w:ascii="仿宋_GB2312" w:hAnsi="仿宋_GB2312" w:eastAsia="仿宋_GB2312" w:cs="仿宋_GB2312"/>
            </w:rPr>
            <w:t>第四条 合同工期</w:t>
          </w:r>
          <w:r>
            <w:tab/>
          </w:r>
          <w:r>
            <w:fldChar w:fldCharType="begin"/>
          </w:r>
          <w:r>
            <w:instrText xml:space="preserve"> PAGEREF _Toc3679 \h </w:instrText>
          </w:r>
          <w:r>
            <w:fldChar w:fldCharType="separate"/>
          </w:r>
          <w:r>
            <w:t>2</w:t>
          </w:r>
          <w:r>
            <w:fldChar w:fldCharType="end"/>
          </w:r>
          <w:r>
            <w:fldChar w:fldCharType="end"/>
          </w:r>
        </w:p>
        <w:p w14:paraId="0D758159">
          <w:pPr>
            <w:pStyle w:val="13"/>
            <w:tabs>
              <w:tab w:val="right" w:leader="dot" w:pos="8300"/>
              <w:tab w:val="clear" w:pos="8296"/>
            </w:tabs>
          </w:pPr>
          <w:r>
            <w:fldChar w:fldCharType="begin"/>
          </w:r>
          <w:r>
            <w:instrText xml:space="preserve"> HYPERLINK \l "_Toc25201" </w:instrText>
          </w:r>
          <w:r>
            <w:fldChar w:fldCharType="separate"/>
          </w:r>
          <w:r>
            <w:rPr>
              <w:rFonts w:hint="eastAsia" w:ascii="仿宋_GB2312" w:hAnsi="仿宋_GB2312" w:eastAsia="仿宋_GB2312" w:cs="仿宋_GB2312"/>
            </w:rPr>
            <w:t>第五条 质量标准</w:t>
          </w:r>
          <w:r>
            <w:tab/>
          </w:r>
          <w:r>
            <w:fldChar w:fldCharType="begin"/>
          </w:r>
          <w:r>
            <w:instrText xml:space="preserve"> PAGEREF _Toc25201 \h </w:instrText>
          </w:r>
          <w:r>
            <w:fldChar w:fldCharType="separate"/>
          </w:r>
          <w:r>
            <w:t>3</w:t>
          </w:r>
          <w:r>
            <w:fldChar w:fldCharType="end"/>
          </w:r>
          <w:r>
            <w:fldChar w:fldCharType="end"/>
          </w:r>
        </w:p>
        <w:p w14:paraId="6FEFE502">
          <w:pPr>
            <w:pStyle w:val="13"/>
            <w:tabs>
              <w:tab w:val="right" w:leader="dot" w:pos="8300"/>
              <w:tab w:val="clear" w:pos="8296"/>
            </w:tabs>
          </w:pPr>
          <w:r>
            <w:fldChar w:fldCharType="begin"/>
          </w:r>
          <w:r>
            <w:instrText xml:space="preserve"> HYPERLINK \l "_Toc12411" </w:instrText>
          </w:r>
          <w:r>
            <w:fldChar w:fldCharType="separate"/>
          </w:r>
          <w:r>
            <w:rPr>
              <w:rFonts w:hint="eastAsia" w:ascii="仿宋_GB2312" w:hAnsi="仿宋_GB2312" w:eastAsia="仿宋_GB2312" w:cs="仿宋_GB2312"/>
            </w:rPr>
            <w:t>第六条 材料供应、机械租赁和试验检测</w:t>
          </w:r>
          <w:r>
            <w:tab/>
          </w:r>
          <w:r>
            <w:fldChar w:fldCharType="begin"/>
          </w:r>
          <w:r>
            <w:instrText xml:space="preserve"> PAGEREF _Toc12411 \h </w:instrText>
          </w:r>
          <w:r>
            <w:fldChar w:fldCharType="separate"/>
          </w:r>
          <w:r>
            <w:t>4</w:t>
          </w:r>
          <w:r>
            <w:fldChar w:fldCharType="end"/>
          </w:r>
          <w:r>
            <w:fldChar w:fldCharType="end"/>
          </w:r>
        </w:p>
        <w:p w14:paraId="613167F9">
          <w:pPr>
            <w:pStyle w:val="13"/>
            <w:tabs>
              <w:tab w:val="right" w:leader="dot" w:pos="8300"/>
              <w:tab w:val="clear" w:pos="8296"/>
            </w:tabs>
          </w:pPr>
          <w:r>
            <w:fldChar w:fldCharType="begin"/>
          </w:r>
          <w:r>
            <w:instrText xml:space="preserve"> HYPERLINK \l "_Toc3089" </w:instrText>
          </w:r>
          <w:r>
            <w:fldChar w:fldCharType="separate"/>
          </w:r>
          <w:r>
            <w:rPr>
              <w:rFonts w:hint="eastAsia" w:ascii="仿宋_GB2312" w:hAnsi="仿宋_GB2312" w:eastAsia="仿宋_GB2312" w:cs="仿宋_GB2312"/>
            </w:rPr>
            <w:t>第七条 双方的权利和义务</w:t>
          </w:r>
          <w:r>
            <w:tab/>
          </w:r>
          <w:r>
            <w:fldChar w:fldCharType="begin"/>
          </w:r>
          <w:r>
            <w:instrText xml:space="preserve"> PAGEREF _Toc3089 \h </w:instrText>
          </w:r>
          <w:r>
            <w:fldChar w:fldCharType="separate"/>
          </w:r>
          <w:r>
            <w:t>8</w:t>
          </w:r>
          <w:r>
            <w:fldChar w:fldCharType="end"/>
          </w:r>
          <w:r>
            <w:fldChar w:fldCharType="end"/>
          </w:r>
        </w:p>
        <w:p w14:paraId="3F6EAB2D">
          <w:pPr>
            <w:pStyle w:val="13"/>
            <w:tabs>
              <w:tab w:val="right" w:leader="dot" w:pos="8300"/>
              <w:tab w:val="clear" w:pos="8296"/>
            </w:tabs>
          </w:pPr>
          <w:r>
            <w:fldChar w:fldCharType="begin"/>
          </w:r>
          <w:r>
            <w:instrText xml:space="preserve"> HYPERLINK \l "_Toc31455" </w:instrText>
          </w:r>
          <w:r>
            <w:fldChar w:fldCharType="separate"/>
          </w:r>
          <w:r>
            <w:rPr>
              <w:rFonts w:hint="eastAsia" w:ascii="仿宋_GB2312" w:hAnsi="仿宋_GB2312" w:eastAsia="仿宋_GB2312" w:cs="仿宋_GB2312"/>
            </w:rPr>
            <w:t>第八条 安全文明、环保施工</w:t>
          </w:r>
          <w:r>
            <w:tab/>
          </w:r>
          <w:r>
            <w:fldChar w:fldCharType="begin"/>
          </w:r>
          <w:r>
            <w:instrText xml:space="preserve"> PAGEREF _Toc31455 \h </w:instrText>
          </w:r>
          <w:r>
            <w:fldChar w:fldCharType="separate"/>
          </w:r>
          <w:r>
            <w:t>14</w:t>
          </w:r>
          <w:r>
            <w:fldChar w:fldCharType="end"/>
          </w:r>
          <w:r>
            <w:fldChar w:fldCharType="end"/>
          </w:r>
        </w:p>
        <w:p w14:paraId="13A9B085">
          <w:pPr>
            <w:pStyle w:val="13"/>
            <w:tabs>
              <w:tab w:val="right" w:leader="dot" w:pos="8300"/>
              <w:tab w:val="clear" w:pos="8296"/>
            </w:tabs>
          </w:pPr>
          <w:r>
            <w:fldChar w:fldCharType="begin"/>
          </w:r>
          <w:r>
            <w:instrText xml:space="preserve"> HYPERLINK \l "_Toc29105" </w:instrText>
          </w:r>
          <w:r>
            <w:fldChar w:fldCharType="separate"/>
          </w:r>
          <w:r>
            <w:rPr>
              <w:rFonts w:hint="eastAsia" w:ascii="仿宋_GB2312" w:hAnsi="仿宋_GB2312" w:eastAsia="仿宋_GB2312" w:cs="仿宋_GB2312"/>
            </w:rPr>
            <w:t>第九条 双方驻工地代表</w:t>
          </w:r>
          <w:r>
            <w:tab/>
          </w:r>
          <w:r>
            <w:fldChar w:fldCharType="begin"/>
          </w:r>
          <w:r>
            <w:instrText xml:space="preserve"> PAGEREF _Toc29105 \h </w:instrText>
          </w:r>
          <w:r>
            <w:fldChar w:fldCharType="separate"/>
          </w:r>
          <w:r>
            <w:t>16</w:t>
          </w:r>
          <w:r>
            <w:fldChar w:fldCharType="end"/>
          </w:r>
          <w:r>
            <w:fldChar w:fldCharType="end"/>
          </w:r>
        </w:p>
        <w:p w14:paraId="6FE5A99E">
          <w:pPr>
            <w:pStyle w:val="13"/>
            <w:tabs>
              <w:tab w:val="right" w:leader="dot" w:pos="8300"/>
              <w:tab w:val="clear" w:pos="8296"/>
            </w:tabs>
          </w:pPr>
          <w:r>
            <w:fldChar w:fldCharType="begin"/>
          </w:r>
          <w:r>
            <w:instrText xml:space="preserve"> HYPERLINK \l "_Toc11191" </w:instrText>
          </w:r>
          <w:r>
            <w:fldChar w:fldCharType="separate"/>
          </w:r>
          <w:r>
            <w:rPr>
              <w:rFonts w:hint="eastAsia" w:ascii="仿宋_GB2312" w:hAnsi="仿宋_GB2312" w:eastAsia="仿宋_GB2312" w:cs="仿宋_GB2312"/>
            </w:rPr>
            <w:t>第十条 工程价款的结算与支付</w:t>
          </w:r>
          <w:r>
            <w:tab/>
          </w:r>
          <w:r>
            <w:fldChar w:fldCharType="begin"/>
          </w:r>
          <w:r>
            <w:instrText xml:space="preserve"> PAGEREF _Toc11191 \h </w:instrText>
          </w:r>
          <w:r>
            <w:fldChar w:fldCharType="separate"/>
          </w:r>
          <w:r>
            <w:t>17</w:t>
          </w:r>
          <w:r>
            <w:fldChar w:fldCharType="end"/>
          </w:r>
          <w:r>
            <w:fldChar w:fldCharType="end"/>
          </w:r>
        </w:p>
        <w:p w14:paraId="58A9014B">
          <w:pPr>
            <w:pStyle w:val="13"/>
            <w:tabs>
              <w:tab w:val="right" w:leader="dot" w:pos="8300"/>
              <w:tab w:val="clear" w:pos="8296"/>
            </w:tabs>
          </w:pPr>
          <w:r>
            <w:fldChar w:fldCharType="begin"/>
          </w:r>
          <w:r>
            <w:instrText xml:space="preserve"> HYPERLINK \l "_Toc10660" </w:instrText>
          </w:r>
          <w:r>
            <w:fldChar w:fldCharType="separate"/>
          </w:r>
          <w:r>
            <w:rPr>
              <w:rFonts w:hint="eastAsia" w:ascii="仿宋_GB2312" w:hAnsi="仿宋_GB2312" w:eastAsia="仿宋_GB2312" w:cs="仿宋_GB2312"/>
            </w:rPr>
            <w:t>第十一条 税务</w:t>
          </w:r>
          <w:r>
            <w:tab/>
          </w:r>
          <w:r>
            <w:fldChar w:fldCharType="begin"/>
          </w:r>
          <w:r>
            <w:instrText xml:space="preserve"> PAGEREF _Toc10660 \h </w:instrText>
          </w:r>
          <w:r>
            <w:fldChar w:fldCharType="separate"/>
          </w:r>
          <w:r>
            <w:t>21</w:t>
          </w:r>
          <w:r>
            <w:fldChar w:fldCharType="end"/>
          </w:r>
          <w:r>
            <w:fldChar w:fldCharType="end"/>
          </w:r>
        </w:p>
        <w:p w14:paraId="66A36D7D">
          <w:pPr>
            <w:pStyle w:val="13"/>
            <w:tabs>
              <w:tab w:val="right" w:leader="dot" w:pos="8300"/>
              <w:tab w:val="clear" w:pos="8296"/>
            </w:tabs>
          </w:pPr>
          <w:r>
            <w:fldChar w:fldCharType="begin"/>
          </w:r>
          <w:r>
            <w:instrText xml:space="preserve"> HYPERLINK \l "_Toc21904" </w:instrText>
          </w:r>
          <w:r>
            <w:fldChar w:fldCharType="separate"/>
          </w:r>
          <w:r>
            <w:rPr>
              <w:rFonts w:hint="eastAsia" w:ascii="仿宋_GB2312" w:hAnsi="仿宋_GB2312" w:eastAsia="仿宋_GB2312" w:cs="仿宋_GB2312"/>
            </w:rPr>
            <w:t>第十二条 变更</w:t>
          </w:r>
          <w:r>
            <w:tab/>
          </w:r>
          <w:r>
            <w:fldChar w:fldCharType="begin"/>
          </w:r>
          <w:r>
            <w:instrText xml:space="preserve"> PAGEREF _Toc21904 \h </w:instrText>
          </w:r>
          <w:r>
            <w:fldChar w:fldCharType="separate"/>
          </w:r>
          <w:r>
            <w:t>21</w:t>
          </w:r>
          <w:r>
            <w:fldChar w:fldCharType="end"/>
          </w:r>
          <w:r>
            <w:fldChar w:fldCharType="end"/>
          </w:r>
        </w:p>
        <w:p w14:paraId="26AC4D0C">
          <w:pPr>
            <w:pStyle w:val="13"/>
            <w:tabs>
              <w:tab w:val="right" w:leader="dot" w:pos="8300"/>
              <w:tab w:val="clear" w:pos="8296"/>
            </w:tabs>
          </w:pPr>
          <w:r>
            <w:fldChar w:fldCharType="begin"/>
          </w:r>
          <w:r>
            <w:instrText xml:space="preserve"> HYPERLINK \l "_Toc9122" </w:instrText>
          </w:r>
          <w:r>
            <w:fldChar w:fldCharType="separate"/>
          </w:r>
          <w:r>
            <w:rPr>
              <w:rFonts w:hint="eastAsia" w:ascii="仿宋_GB2312" w:hAnsi="仿宋_GB2312" w:eastAsia="仿宋_GB2312" w:cs="仿宋_GB2312"/>
            </w:rPr>
            <w:t>第十三条 竣工验收</w:t>
          </w:r>
          <w:r>
            <w:tab/>
          </w:r>
          <w:r>
            <w:fldChar w:fldCharType="begin"/>
          </w:r>
          <w:r>
            <w:instrText xml:space="preserve"> PAGEREF _Toc9122 \h </w:instrText>
          </w:r>
          <w:r>
            <w:fldChar w:fldCharType="separate"/>
          </w:r>
          <w:r>
            <w:t>22</w:t>
          </w:r>
          <w:r>
            <w:fldChar w:fldCharType="end"/>
          </w:r>
          <w:r>
            <w:fldChar w:fldCharType="end"/>
          </w:r>
        </w:p>
        <w:p w14:paraId="3B1489C5">
          <w:pPr>
            <w:pStyle w:val="13"/>
            <w:tabs>
              <w:tab w:val="right" w:leader="dot" w:pos="8300"/>
              <w:tab w:val="clear" w:pos="8296"/>
            </w:tabs>
          </w:pPr>
          <w:r>
            <w:fldChar w:fldCharType="begin"/>
          </w:r>
          <w:r>
            <w:instrText xml:space="preserve"> HYPERLINK \l "_Toc15136" </w:instrText>
          </w:r>
          <w:r>
            <w:fldChar w:fldCharType="separate"/>
          </w:r>
          <w:r>
            <w:rPr>
              <w:rFonts w:hint="eastAsia" w:ascii="仿宋_GB2312" w:hAnsi="仿宋_GB2312" w:eastAsia="仿宋_GB2312" w:cs="仿宋_GB2312"/>
            </w:rPr>
            <w:t>第十四条 竣工结算及移交</w:t>
          </w:r>
          <w:r>
            <w:tab/>
          </w:r>
          <w:r>
            <w:fldChar w:fldCharType="begin"/>
          </w:r>
          <w:r>
            <w:instrText xml:space="preserve"> PAGEREF _Toc15136 \h </w:instrText>
          </w:r>
          <w:r>
            <w:fldChar w:fldCharType="separate"/>
          </w:r>
          <w:r>
            <w:t>22</w:t>
          </w:r>
          <w:r>
            <w:fldChar w:fldCharType="end"/>
          </w:r>
          <w:r>
            <w:fldChar w:fldCharType="end"/>
          </w:r>
        </w:p>
        <w:p w14:paraId="1DF61E30">
          <w:pPr>
            <w:pStyle w:val="13"/>
            <w:tabs>
              <w:tab w:val="right" w:leader="dot" w:pos="8300"/>
              <w:tab w:val="clear" w:pos="8296"/>
            </w:tabs>
          </w:pPr>
          <w:r>
            <w:fldChar w:fldCharType="begin"/>
          </w:r>
          <w:r>
            <w:instrText xml:space="preserve"> HYPERLINK \l "_Toc18937" </w:instrText>
          </w:r>
          <w:r>
            <w:fldChar w:fldCharType="separate"/>
          </w:r>
          <w:r>
            <w:rPr>
              <w:rFonts w:hint="eastAsia" w:ascii="仿宋_GB2312" w:hAnsi="仿宋_GB2312" w:eastAsia="仿宋_GB2312" w:cs="仿宋_GB2312"/>
            </w:rPr>
            <w:t>第十五条 质量保修</w:t>
          </w:r>
          <w:r>
            <w:tab/>
          </w:r>
          <w:r>
            <w:fldChar w:fldCharType="begin"/>
          </w:r>
          <w:r>
            <w:instrText xml:space="preserve"> PAGEREF _Toc18937 \h </w:instrText>
          </w:r>
          <w:r>
            <w:fldChar w:fldCharType="separate"/>
          </w:r>
          <w:r>
            <w:t>22</w:t>
          </w:r>
          <w:r>
            <w:fldChar w:fldCharType="end"/>
          </w:r>
          <w:r>
            <w:fldChar w:fldCharType="end"/>
          </w:r>
        </w:p>
        <w:p w14:paraId="05F0E631">
          <w:pPr>
            <w:pStyle w:val="13"/>
            <w:tabs>
              <w:tab w:val="right" w:leader="dot" w:pos="8300"/>
              <w:tab w:val="clear" w:pos="8296"/>
            </w:tabs>
          </w:pPr>
          <w:r>
            <w:fldChar w:fldCharType="begin"/>
          </w:r>
          <w:r>
            <w:instrText xml:space="preserve"> HYPERLINK \l "_Toc20001" </w:instrText>
          </w:r>
          <w:r>
            <w:fldChar w:fldCharType="separate"/>
          </w:r>
          <w:r>
            <w:rPr>
              <w:rFonts w:hint="eastAsia" w:ascii="仿宋_GB2312" w:hAnsi="仿宋_GB2312" w:eastAsia="仿宋_GB2312" w:cs="仿宋_GB2312"/>
            </w:rPr>
            <w:t>第十六条 违约责任</w:t>
          </w:r>
          <w:r>
            <w:tab/>
          </w:r>
          <w:r>
            <w:fldChar w:fldCharType="begin"/>
          </w:r>
          <w:r>
            <w:instrText xml:space="preserve"> PAGEREF _Toc20001 \h </w:instrText>
          </w:r>
          <w:r>
            <w:fldChar w:fldCharType="separate"/>
          </w:r>
          <w:r>
            <w:t>23</w:t>
          </w:r>
          <w:r>
            <w:fldChar w:fldCharType="end"/>
          </w:r>
          <w:r>
            <w:fldChar w:fldCharType="end"/>
          </w:r>
        </w:p>
        <w:p w14:paraId="05BB959C">
          <w:pPr>
            <w:pStyle w:val="13"/>
            <w:tabs>
              <w:tab w:val="right" w:leader="dot" w:pos="8300"/>
              <w:tab w:val="clear" w:pos="8296"/>
            </w:tabs>
          </w:pPr>
          <w:r>
            <w:fldChar w:fldCharType="begin"/>
          </w:r>
          <w:r>
            <w:instrText xml:space="preserve"> HYPERLINK \l "_Toc23935" </w:instrText>
          </w:r>
          <w:r>
            <w:fldChar w:fldCharType="separate"/>
          </w:r>
          <w:r>
            <w:rPr>
              <w:rFonts w:hint="eastAsia" w:ascii="仿宋_GB2312" w:hAnsi="仿宋_GB2312" w:eastAsia="仿宋_GB2312" w:cs="仿宋_GB2312"/>
            </w:rPr>
            <w:t>第十七条 合同解除</w:t>
          </w:r>
          <w:r>
            <w:tab/>
          </w:r>
          <w:r>
            <w:fldChar w:fldCharType="begin"/>
          </w:r>
          <w:r>
            <w:instrText xml:space="preserve"> PAGEREF _Toc23935 \h </w:instrText>
          </w:r>
          <w:r>
            <w:fldChar w:fldCharType="separate"/>
          </w:r>
          <w:r>
            <w:t>26</w:t>
          </w:r>
          <w:r>
            <w:fldChar w:fldCharType="end"/>
          </w:r>
          <w:r>
            <w:fldChar w:fldCharType="end"/>
          </w:r>
        </w:p>
        <w:p w14:paraId="086730CE">
          <w:pPr>
            <w:pStyle w:val="13"/>
            <w:tabs>
              <w:tab w:val="right" w:leader="dot" w:pos="8300"/>
              <w:tab w:val="clear" w:pos="8296"/>
            </w:tabs>
          </w:pPr>
          <w:r>
            <w:fldChar w:fldCharType="begin"/>
          </w:r>
          <w:r>
            <w:instrText xml:space="preserve"> HYPERLINK \l "_Toc4622" </w:instrText>
          </w:r>
          <w:r>
            <w:fldChar w:fldCharType="separate"/>
          </w:r>
          <w:r>
            <w:rPr>
              <w:rFonts w:hint="eastAsia" w:ascii="仿宋_GB2312" w:hAnsi="仿宋_GB2312" w:eastAsia="仿宋_GB2312" w:cs="仿宋_GB2312"/>
            </w:rPr>
            <w:t>第十八条 其它约定</w:t>
          </w:r>
          <w:r>
            <w:tab/>
          </w:r>
          <w:r>
            <w:fldChar w:fldCharType="begin"/>
          </w:r>
          <w:r>
            <w:instrText xml:space="preserve"> PAGEREF _Toc4622 \h </w:instrText>
          </w:r>
          <w:r>
            <w:fldChar w:fldCharType="separate"/>
          </w:r>
          <w:r>
            <w:t>27</w:t>
          </w:r>
          <w:r>
            <w:fldChar w:fldCharType="end"/>
          </w:r>
          <w:r>
            <w:fldChar w:fldCharType="end"/>
          </w:r>
        </w:p>
        <w:p w14:paraId="79C80BF9">
          <w:pPr>
            <w:pStyle w:val="13"/>
            <w:tabs>
              <w:tab w:val="right" w:leader="dot" w:pos="8300"/>
              <w:tab w:val="clear" w:pos="8296"/>
            </w:tabs>
          </w:pPr>
          <w:r>
            <w:fldChar w:fldCharType="begin"/>
          </w:r>
          <w:r>
            <w:instrText xml:space="preserve"> HYPERLINK \l "_Toc27096" </w:instrText>
          </w:r>
          <w:r>
            <w:fldChar w:fldCharType="separate"/>
          </w:r>
          <w:r>
            <w:rPr>
              <w:rFonts w:hint="eastAsia" w:ascii="仿宋_GB2312" w:hAnsi="仿宋_GB2312" w:eastAsia="仿宋_GB2312" w:cs="仿宋_GB2312"/>
            </w:rPr>
            <w:t>第十九条 争议的解决方式</w:t>
          </w:r>
          <w:r>
            <w:tab/>
          </w:r>
          <w:r>
            <w:fldChar w:fldCharType="begin"/>
          </w:r>
          <w:r>
            <w:instrText xml:space="preserve"> PAGEREF _Toc27096 \h </w:instrText>
          </w:r>
          <w:r>
            <w:fldChar w:fldCharType="separate"/>
          </w:r>
          <w:r>
            <w:t>30</w:t>
          </w:r>
          <w:r>
            <w:fldChar w:fldCharType="end"/>
          </w:r>
          <w:r>
            <w:fldChar w:fldCharType="end"/>
          </w:r>
        </w:p>
        <w:p w14:paraId="0A80580E">
          <w:pPr>
            <w:pStyle w:val="13"/>
            <w:tabs>
              <w:tab w:val="right" w:leader="dot" w:pos="8300"/>
              <w:tab w:val="clear" w:pos="8296"/>
            </w:tabs>
          </w:pPr>
          <w:r>
            <w:fldChar w:fldCharType="begin"/>
          </w:r>
          <w:r>
            <w:instrText xml:space="preserve"> HYPERLINK \l "_Toc27079" </w:instrText>
          </w:r>
          <w:r>
            <w:fldChar w:fldCharType="separate"/>
          </w:r>
          <w:r>
            <w:rPr>
              <w:rFonts w:hint="eastAsia" w:ascii="仿宋_GB2312" w:hAnsi="仿宋_GB2312" w:eastAsia="仿宋_GB2312" w:cs="仿宋_GB2312"/>
            </w:rPr>
            <w:t>第二十条 不可抗力</w:t>
          </w:r>
          <w:r>
            <w:tab/>
          </w:r>
          <w:r>
            <w:fldChar w:fldCharType="begin"/>
          </w:r>
          <w:r>
            <w:instrText xml:space="preserve"> PAGEREF _Toc27079 \h </w:instrText>
          </w:r>
          <w:r>
            <w:fldChar w:fldCharType="separate"/>
          </w:r>
          <w:r>
            <w:t>30</w:t>
          </w:r>
          <w:r>
            <w:fldChar w:fldCharType="end"/>
          </w:r>
          <w:r>
            <w:fldChar w:fldCharType="end"/>
          </w:r>
        </w:p>
        <w:p w14:paraId="78BEC9A7">
          <w:pPr>
            <w:pStyle w:val="13"/>
            <w:tabs>
              <w:tab w:val="right" w:leader="dot" w:pos="8300"/>
              <w:tab w:val="clear" w:pos="8296"/>
            </w:tabs>
          </w:pPr>
          <w:r>
            <w:fldChar w:fldCharType="begin"/>
          </w:r>
          <w:r>
            <w:instrText xml:space="preserve"> HYPERLINK \l "_Toc23809" </w:instrText>
          </w:r>
          <w:r>
            <w:fldChar w:fldCharType="separate"/>
          </w:r>
          <w:r>
            <w:rPr>
              <w:rFonts w:hint="eastAsia" w:ascii="仿宋_GB2312" w:hAnsi="仿宋_GB2312" w:eastAsia="仿宋_GB2312" w:cs="仿宋_GB2312"/>
            </w:rPr>
            <w:t>第二十一条 审计</w:t>
          </w:r>
          <w:r>
            <w:tab/>
          </w:r>
          <w:r>
            <w:fldChar w:fldCharType="begin"/>
          </w:r>
          <w:r>
            <w:instrText xml:space="preserve"> PAGEREF _Toc23809 \h </w:instrText>
          </w:r>
          <w:r>
            <w:fldChar w:fldCharType="separate"/>
          </w:r>
          <w:r>
            <w:t>31</w:t>
          </w:r>
          <w:r>
            <w:fldChar w:fldCharType="end"/>
          </w:r>
          <w:r>
            <w:fldChar w:fldCharType="end"/>
          </w:r>
        </w:p>
        <w:p w14:paraId="4A4B1131">
          <w:pPr>
            <w:pStyle w:val="13"/>
            <w:tabs>
              <w:tab w:val="right" w:leader="dot" w:pos="8300"/>
              <w:tab w:val="clear" w:pos="8296"/>
            </w:tabs>
          </w:pPr>
          <w:r>
            <w:fldChar w:fldCharType="begin"/>
          </w:r>
          <w:r>
            <w:instrText xml:space="preserve"> HYPERLINK \l "_Toc20332" </w:instrText>
          </w:r>
          <w:r>
            <w:fldChar w:fldCharType="separate"/>
          </w:r>
          <w:r>
            <w:rPr>
              <w:rFonts w:hint="eastAsia" w:ascii="仿宋_GB2312" w:hAnsi="仿宋_GB2312" w:eastAsia="仿宋_GB2312" w:cs="仿宋_GB2312"/>
            </w:rPr>
            <w:t>第二十二条 合同文件的组成</w:t>
          </w:r>
          <w:r>
            <w:tab/>
          </w:r>
          <w:r>
            <w:fldChar w:fldCharType="begin"/>
          </w:r>
          <w:r>
            <w:instrText xml:space="preserve"> PAGEREF _Toc20332 \h </w:instrText>
          </w:r>
          <w:r>
            <w:fldChar w:fldCharType="separate"/>
          </w:r>
          <w:r>
            <w:t>32</w:t>
          </w:r>
          <w:r>
            <w:fldChar w:fldCharType="end"/>
          </w:r>
          <w:r>
            <w:fldChar w:fldCharType="end"/>
          </w:r>
        </w:p>
        <w:p w14:paraId="3CDF52A7">
          <w:pPr>
            <w:pStyle w:val="13"/>
            <w:tabs>
              <w:tab w:val="right" w:leader="dot" w:pos="8300"/>
              <w:tab w:val="clear" w:pos="8296"/>
            </w:tabs>
          </w:pPr>
          <w:r>
            <w:fldChar w:fldCharType="begin"/>
          </w:r>
          <w:r>
            <w:instrText xml:space="preserve"> HYPERLINK \l "_Toc25679" </w:instrText>
          </w:r>
          <w:r>
            <w:fldChar w:fldCharType="separate"/>
          </w:r>
          <w:r>
            <w:rPr>
              <w:rFonts w:hint="eastAsia" w:ascii="仿宋_GB2312" w:hAnsi="仿宋_GB2312" w:eastAsia="仿宋_GB2312" w:cs="仿宋_GB2312"/>
            </w:rPr>
            <w:t>第二十三条 土石方工程其他要求</w:t>
          </w:r>
          <w:r>
            <w:tab/>
          </w:r>
          <w:r>
            <w:fldChar w:fldCharType="begin"/>
          </w:r>
          <w:r>
            <w:instrText xml:space="preserve"> PAGEREF _Toc25679 \h </w:instrText>
          </w:r>
          <w:r>
            <w:fldChar w:fldCharType="separate"/>
          </w:r>
          <w:r>
            <w:t>32</w:t>
          </w:r>
          <w:r>
            <w:fldChar w:fldCharType="end"/>
          </w:r>
          <w:r>
            <w:fldChar w:fldCharType="end"/>
          </w:r>
        </w:p>
        <w:p w14:paraId="5E729FF1">
          <w:pPr>
            <w:pStyle w:val="13"/>
            <w:tabs>
              <w:tab w:val="right" w:leader="dot" w:pos="8300"/>
              <w:tab w:val="clear" w:pos="8296"/>
            </w:tabs>
          </w:pPr>
          <w:r>
            <w:fldChar w:fldCharType="begin"/>
          </w:r>
          <w:r>
            <w:instrText xml:space="preserve"> HYPERLINK \l "_Toc12267" </w:instrText>
          </w:r>
          <w:r>
            <w:fldChar w:fldCharType="separate"/>
          </w:r>
          <w:r>
            <w:rPr>
              <w:rFonts w:hint="eastAsia" w:ascii="仿宋_GB2312" w:hAnsi="仿宋_GB2312" w:eastAsia="仿宋_GB2312" w:cs="仿宋_GB2312"/>
            </w:rPr>
            <w:t>第二十四条 附则</w:t>
          </w:r>
          <w:r>
            <w:tab/>
          </w:r>
          <w:r>
            <w:fldChar w:fldCharType="begin"/>
          </w:r>
          <w:r>
            <w:instrText xml:space="preserve"> PAGEREF _Toc12267 \h </w:instrText>
          </w:r>
          <w:r>
            <w:fldChar w:fldCharType="separate"/>
          </w:r>
          <w:r>
            <w:t>38</w:t>
          </w:r>
          <w:r>
            <w:fldChar w:fldCharType="end"/>
          </w:r>
          <w:r>
            <w:fldChar w:fldCharType="end"/>
          </w:r>
        </w:p>
        <w:p w14:paraId="6E6EC121">
          <w:pPr>
            <w:pStyle w:val="13"/>
            <w:tabs>
              <w:tab w:val="right" w:leader="dot" w:pos="8300"/>
              <w:tab w:val="clear" w:pos="8296"/>
            </w:tabs>
            <w:rPr>
              <w:rFonts w:eastAsia="仿宋_GB2312"/>
            </w:rPr>
          </w:pPr>
          <w:r>
            <w:rPr>
              <w:rFonts w:hint="eastAsia" w:ascii="仿宋_GB2312" w:hAnsi="仿宋_GB2312" w:eastAsia="仿宋_GB2312" w:cs="仿宋_GB2312"/>
              <w:szCs w:val="44"/>
            </w:rPr>
            <w:fldChar w:fldCharType="end"/>
          </w:r>
        </w:p>
        <w:p w14:paraId="29F4145D">
          <w:pPr>
            <w:tabs>
              <w:tab w:val="left" w:pos="2310"/>
            </w:tabs>
            <w:spacing w:line="560" w:lineRule="exact"/>
            <w:jc w:val="center"/>
            <w:rPr>
              <w:rFonts w:hint="eastAsia" w:ascii="仿宋_GB2312" w:hAnsi="仿宋_GB2312" w:eastAsia="仿宋_GB2312" w:cs="仿宋_GB2312"/>
              <w:bCs/>
              <w:sz w:val="24"/>
              <w:szCs w:val="44"/>
            </w:rPr>
          </w:pPr>
        </w:p>
      </w:sdtContent>
    </w:sdt>
    <w:p w14:paraId="13BDF38D">
      <w:pPr>
        <w:tabs>
          <w:tab w:val="left" w:pos="2310"/>
        </w:tabs>
        <w:spacing w:line="560" w:lineRule="exact"/>
        <w:jc w:val="center"/>
        <w:rPr>
          <w:rFonts w:hint="eastAsia" w:ascii="仿宋_GB2312" w:hAnsi="仿宋_GB2312" w:eastAsia="仿宋_GB2312" w:cs="仿宋_GB2312"/>
          <w:b/>
          <w:bCs/>
          <w:sz w:val="44"/>
          <w:szCs w:val="44"/>
        </w:rPr>
        <w:sectPr>
          <w:footerReference r:id="rId4" w:type="default"/>
          <w:footnotePr>
            <w:numFmt w:val="decimalEnclosedCircleChinese"/>
            <w:numRestart w:val="eachPage"/>
          </w:footnotePr>
          <w:pgSz w:w="11906" w:h="16838"/>
          <w:pgMar w:top="1440" w:right="1803" w:bottom="1440" w:left="1803" w:header="851" w:footer="851" w:gutter="0"/>
          <w:cols w:space="720" w:num="1"/>
          <w:docGrid w:type="lines" w:linePitch="312" w:charSpace="0"/>
        </w:sectPr>
      </w:pPr>
    </w:p>
    <w:p w14:paraId="793531CD">
      <w:pPr>
        <w:tabs>
          <w:tab w:val="left" w:pos="2310"/>
        </w:tabs>
        <w:spacing w:line="560" w:lineRule="exact"/>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建设工程施工专业分包合同</w:t>
      </w:r>
    </w:p>
    <w:p w14:paraId="08C46D8D">
      <w:pPr>
        <w:pStyle w:val="10"/>
        <w:spacing w:line="560" w:lineRule="exact"/>
        <w:rPr>
          <w:sz w:val="28"/>
          <w:szCs w:val="28"/>
        </w:rPr>
      </w:pPr>
    </w:p>
    <w:p w14:paraId="72AB793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工程承包人：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（以下简称甲方）</w:t>
      </w:r>
    </w:p>
    <w:p w14:paraId="3756E9C9">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工程分包人：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（以下简称乙方）</w:t>
      </w:r>
    </w:p>
    <w:p w14:paraId="1C53889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为加快</w:t>
      </w:r>
      <w:r>
        <w:rPr>
          <w:rFonts w:hint="eastAsia" w:ascii="仿宋_GB2312" w:hAnsi="仿宋_GB2312" w:eastAsia="仿宋_GB2312" w:cs="仿宋_GB2312"/>
          <w:sz w:val="28"/>
          <w:szCs w:val="28"/>
          <w:u w:val="single"/>
        </w:rPr>
        <w:t>XX工程</w:t>
      </w:r>
      <w:r>
        <w:rPr>
          <w:rFonts w:hint="eastAsia" w:ascii="仿宋_GB2312" w:hAnsi="仿宋_GB2312" w:eastAsia="仿宋_GB2312" w:cs="仿宋_GB2312"/>
          <w:sz w:val="28"/>
          <w:szCs w:val="28"/>
        </w:rPr>
        <w:t>项目施工进度，依照《中华人民共和国民法典》《中华人民共和国建筑法》及有关法规、规章规定，遵循平等、自愿、公平和诚实信用的原则，经甲乙双方协商一致，签订本合同。</w:t>
      </w:r>
    </w:p>
    <w:p w14:paraId="4BAB7752">
      <w:pPr>
        <w:pStyle w:val="2"/>
        <w:spacing w:before="0" w:after="0" w:line="560" w:lineRule="exact"/>
        <w:rPr>
          <w:rFonts w:hint="eastAsia" w:ascii="仿宋_GB2312" w:hAnsi="仿宋_GB2312" w:eastAsia="仿宋_GB2312" w:cs="仿宋_GB2312"/>
          <w:sz w:val="28"/>
          <w:szCs w:val="28"/>
        </w:rPr>
      </w:pPr>
      <w:bookmarkStart w:id="116" w:name="_Toc29304"/>
      <w:r>
        <w:rPr>
          <w:rFonts w:hint="eastAsia" w:ascii="仿宋_GB2312" w:hAnsi="仿宋_GB2312" w:eastAsia="仿宋_GB2312" w:cs="仿宋_GB2312"/>
          <w:sz w:val="28"/>
          <w:szCs w:val="28"/>
        </w:rPr>
        <w:t>第一条 乙方资质、注册情况及纳税身份情况</w:t>
      </w:r>
      <w:bookmarkEnd w:id="116"/>
    </w:p>
    <w:p w14:paraId="0C0D71AA">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1.1统一社会信用代码统一社会信用代码</w:t>
      </w:r>
      <w:r>
        <w:rPr>
          <w:rFonts w:hint="eastAsia" w:ascii="仿宋_GB2312" w:hAnsi="仿宋_GB2312" w:eastAsia="仿宋_GB2312" w:cs="仿宋_GB2312"/>
          <w:sz w:val="28"/>
          <w:szCs w:val="28"/>
          <w:u w:val="single"/>
        </w:rPr>
        <w:t xml:space="preserve">:                   </w:t>
      </w:r>
    </w:p>
    <w:p w14:paraId="7ACE374F">
      <w:pPr>
        <w:tabs>
          <w:tab w:val="left" w:pos="5073"/>
        </w:tabs>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1.2企业资质证书</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 xml:space="preserve">    </w:t>
      </w:r>
    </w:p>
    <w:p w14:paraId="542CC68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资质证书编号：</w:t>
      </w:r>
      <w:r>
        <w:rPr>
          <w:rFonts w:hint="eastAsia" w:ascii="仿宋_GB2312" w:hAnsi="仿宋_GB2312" w:eastAsia="仿宋_GB2312" w:cs="仿宋_GB2312"/>
          <w:sz w:val="28"/>
          <w:szCs w:val="28"/>
          <w:u w:val="single"/>
        </w:rPr>
        <w:t xml:space="preserve">                             </w:t>
      </w:r>
    </w:p>
    <w:p w14:paraId="54C87052">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发证机关：</w:t>
      </w:r>
      <w:r>
        <w:rPr>
          <w:rFonts w:hint="eastAsia" w:ascii="仿宋_GB2312" w:hAnsi="仿宋_GB2312" w:eastAsia="仿宋_GB2312" w:cs="仿宋_GB2312"/>
          <w:sz w:val="28"/>
          <w:szCs w:val="28"/>
          <w:u w:val="single"/>
        </w:rPr>
        <w:t xml:space="preserve">                                 </w:t>
      </w:r>
    </w:p>
    <w:p w14:paraId="2889E6BD">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 xml:space="preserve">资质专业及等级：  </w:t>
      </w:r>
      <w:r>
        <w:rPr>
          <w:rFonts w:hint="eastAsia" w:ascii="仿宋_GB2312" w:hAnsi="仿宋_GB2312" w:eastAsia="仿宋_GB2312" w:cs="仿宋_GB2312"/>
          <w:sz w:val="28"/>
          <w:szCs w:val="28"/>
          <w:u w:val="single"/>
        </w:rPr>
        <w:t xml:space="preserve">                         </w:t>
      </w:r>
    </w:p>
    <w:p w14:paraId="4D65982E">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复审时间及有效期：</w:t>
      </w:r>
      <w:r>
        <w:rPr>
          <w:rFonts w:hint="eastAsia" w:ascii="仿宋_GB2312" w:hAnsi="仿宋_GB2312" w:eastAsia="仿宋_GB2312" w:cs="仿宋_GB2312"/>
          <w:sz w:val="28"/>
          <w:szCs w:val="28"/>
          <w:u w:val="single"/>
        </w:rPr>
        <w:t xml:space="preserve">                         </w:t>
      </w:r>
    </w:p>
    <w:p w14:paraId="4D8C0D67">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 安全生产许可证</w:t>
      </w:r>
    </w:p>
    <w:p w14:paraId="10EB0974">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安全生产许可证编号：</w:t>
      </w:r>
      <w:r>
        <w:rPr>
          <w:rFonts w:hint="eastAsia" w:ascii="仿宋_GB2312" w:hAnsi="仿宋_GB2312" w:eastAsia="仿宋_GB2312" w:cs="仿宋_GB2312"/>
          <w:sz w:val="28"/>
          <w:szCs w:val="28"/>
          <w:u w:val="single"/>
        </w:rPr>
        <w:t xml:space="preserve">                         </w:t>
      </w:r>
    </w:p>
    <w:p w14:paraId="23D6633C">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许可范围：</w:t>
      </w:r>
      <w:r>
        <w:rPr>
          <w:rFonts w:hint="eastAsia" w:ascii="仿宋_GB2312" w:hAnsi="仿宋_GB2312" w:eastAsia="仿宋_GB2312" w:cs="仿宋_GB2312"/>
          <w:sz w:val="28"/>
          <w:szCs w:val="28"/>
          <w:u w:val="single"/>
        </w:rPr>
        <w:t xml:space="preserve">                       </w:t>
      </w:r>
    </w:p>
    <w:p w14:paraId="72A9C232">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有效期：</w:t>
      </w:r>
      <w:r>
        <w:rPr>
          <w:rFonts w:hint="eastAsia" w:ascii="仿宋_GB2312" w:hAnsi="仿宋_GB2312" w:eastAsia="仿宋_GB2312" w:cs="仿宋_GB2312"/>
          <w:sz w:val="28"/>
          <w:szCs w:val="28"/>
          <w:u w:val="single"/>
        </w:rPr>
        <w:t xml:space="preserve">                            </w:t>
      </w:r>
    </w:p>
    <w:p w14:paraId="758BEA5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 乙方为：</w:t>
      </w:r>
      <w:r>
        <w:rPr>
          <w:rFonts w:hint="eastAsia" w:ascii="仿宋_GB2312" w:hAnsi="仿宋_GB2312" w:eastAsia="仿宋_GB2312" w:cs="仿宋_GB2312"/>
          <w:sz w:val="28"/>
          <w:szCs w:val="28"/>
          <w:u w:val="single"/>
        </w:rPr>
        <w:t>一般纳税人/小规模纳税人</w:t>
      </w:r>
    </w:p>
    <w:p w14:paraId="13AA7802">
      <w:pPr>
        <w:pStyle w:val="2"/>
        <w:spacing w:before="0" w:after="0" w:line="560" w:lineRule="exact"/>
        <w:rPr>
          <w:rFonts w:hint="eastAsia" w:ascii="仿宋_GB2312" w:hAnsi="仿宋_GB2312" w:eastAsia="仿宋_GB2312" w:cs="仿宋_GB2312"/>
          <w:sz w:val="28"/>
          <w:szCs w:val="28"/>
        </w:rPr>
      </w:pPr>
      <w:bookmarkStart w:id="117" w:name="_Toc21909"/>
      <w:r>
        <w:rPr>
          <w:rFonts w:hint="eastAsia" w:ascii="仿宋_GB2312" w:hAnsi="仿宋_GB2312" w:eastAsia="仿宋_GB2312" w:cs="仿宋_GB2312"/>
          <w:sz w:val="28"/>
          <w:szCs w:val="28"/>
        </w:rPr>
        <w:t>第二条 工程概况</w:t>
      </w:r>
      <w:bookmarkEnd w:id="117"/>
    </w:p>
    <w:p w14:paraId="0DCA9B34">
      <w:pPr>
        <w:spacing w:line="560" w:lineRule="exact"/>
        <w:ind w:firstLine="40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2.1分包工程名称：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14:paraId="30B0CF64">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2.2分包工程地点：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14:paraId="0A10FD55">
      <w:pPr>
        <w:spacing w:line="560" w:lineRule="exact"/>
        <w:ind w:left="559" w:leftChars="266"/>
        <w:rPr>
          <w:sz w:val="28"/>
          <w:szCs w:val="28"/>
        </w:rPr>
      </w:pPr>
      <w:r>
        <w:rPr>
          <w:rFonts w:hint="eastAsia" w:ascii="仿宋_GB2312" w:hAnsi="仿宋_GB2312" w:eastAsia="仿宋_GB2312" w:cs="仿宋_GB2312"/>
          <w:sz w:val="28"/>
          <w:szCs w:val="28"/>
        </w:rPr>
        <w:t xml:space="preserve">2.3分包工程承包范围及工作内容： </w:t>
      </w:r>
      <w:r>
        <w:rPr>
          <w:rFonts w:hint="eastAsia" w:ascii="仿宋_GB2312" w:hAnsi="仿宋_GB2312" w:eastAsia="仿宋_GB2312" w:cs="仿宋_GB2312"/>
          <w:sz w:val="28"/>
          <w:szCs w:val="28"/>
          <w:u w:val="single"/>
        </w:rPr>
        <w:t xml:space="preserve"> 具体见招标文件                                                   </w:t>
      </w:r>
      <w:r>
        <w:rPr>
          <w:rFonts w:hint="eastAsia" w:ascii="仿宋_GB2312" w:hAnsi="仿宋_GB2312" w:eastAsia="仿宋_GB2312" w:cs="仿宋_GB2312"/>
          <w:sz w:val="28"/>
          <w:szCs w:val="28"/>
        </w:rPr>
        <w:t xml:space="preserve"> 。</w:t>
      </w:r>
    </w:p>
    <w:p w14:paraId="48D35CBA">
      <w:pPr>
        <w:adjustRightInd w:val="0"/>
        <w:snapToGrid w:val="0"/>
        <w:spacing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2.4 乙方应于签订本合同前</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日内，向甲方缴纳履约保证金</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。项目竣工验收合格后，乙方申请无息退还。</w:t>
      </w:r>
    </w:p>
    <w:p w14:paraId="6F9923E8">
      <w:pPr>
        <w:pStyle w:val="2"/>
        <w:spacing w:before="0" w:after="0" w:line="560" w:lineRule="exact"/>
        <w:rPr>
          <w:rFonts w:hint="eastAsia" w:ascii="仿宋_GB2312" w:hAnsi="仿宋_GB2312" w:eastAsia="仿宋_GB2312" w:cs="仿宋_GB2312"/>
          <w:sz w:val="28"/>
          <w:szCs w:val="28"/>
        </w:rPr>
      </w:pPr>
      <w:bookmarkStart w:id="118" w:name="_Toc1781"/>
      <w:r>
        <w:rPr>
          <w:rFonts w:hint="eastAsia" w:ascii="仿宋_GB2312" w:hAnsi="仿宋_GB2312" w:eastAsia="仿宋_GB2312" w:cs="仿宋_GB2312"/>
          <w:sz w:val="28"/>
          <w:szCs w:val="28"/>
        </w:rPr>
        <w:t>第三条 分包合同价款</w:t>
      </w:r>
      <w:bookmarkEnd w:id="118"/>
    </w:p>
    <w:p w14:paraId="61038167">
      <w:pPr>
        <w:adjustRightInd w:val="0"/>
        <w:snapToGrid w:val="0"/>
        <w:spacing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本合同采用</w:t>
      </w:r>
      <w:r>
        <w:rPr>
          <w:rFonts w:hint="eastAsia" w:ascii="仿宋_GB2312" w:hAnsi="仿宋_GB2312" w:eastAsia="仿宋_GB2312" w:cs="仿宋_GB2312"/>
          <w:color w:val="000000"/>
          <w:sz w:val="28"/>
          <w:szCs w:val="28"/>
          <w:highlight w:val="yellow"/>
          <w:u w:val="single"/>
        </w:rPr>
        <w:t>综合单价合同</w:t>
      </w:r>
      <w:r>
        <w:rPr>
          <w:rFonts w:hint="eastAsia" w:ascii="仿宋_GB2312" w:hAnsi="仿宋_GB2312" w:eastAsia="仿宋_GB2312" w:cs="仿宋_GB2312"/>
          <w:color w:val="000000"/>
          <w:sz w:val="28"/>
          <w:szCs w:val="28"/>
        </w:rPr>
        <w:t>模式。</w:t>
      </w:r>
      <w:r>
        <w:rPr>
          <w:rFonts w:hint="eastAsia" w:ascii="仿宋_GB2312" w:hAnsi="仿宋_GB2312" w:eastAsia="仿宋_GB2312" w:cs="仿宋_GB2312"/>
          <w:color w:val="000000"/>
          <w:sz w:val="28"/>
          <w:szCs w:val="28"/>
          <w:highlight w:val="yellow"/>
        </w:rPr>
        <w:t>合同暂定总价</w:t>
      </w:r>
      <w:r>
        <w:rPr>
          <w:rFonts w:hint="eastAsia" w:ascii="仿宋_GB2312" w:hAnsi="仿宋_GB2312" w:eastAsia="仿宋_GB2312" w:cs="仿宋_GB2312"/>
          <w:color w:val="000000"/>
          <w:sz w:val="28"/>
          <w:szCs w:val="28"/>
        </w:rPr>
        <w:t>为：人民币（大写）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，（小写）</w:t>
      </w:r>
      <w:r>
        <w:rPr>
          <w:rFonts w:hint="eastAsia" w:ascii="仿宋_GB2312" w:hAnsi="仿宋_GB2312" w:eastAsia="仿宋_GB2312" w:cs="仿宋_GB2312"/>
          <w:color w:val="000000"/>
          <w:sz w:val="28"/>
          <w:szCs w:val="28"/>
          <w:u w:val="single"/>
        </w:rPr>
        <w:t xml:space="preserve"> </w:t>
      </w:r>
      <w:r>
        <w:rPr>
          <w:rFonts w:hint="eastAsia" w:ascii="宋体" w:hAnsi="宋体" w:cs="宋体"/>
          <w:color w:val="000000"/>
          <w:sz w:val="28"/>
          <w:szCs w:val="28"/>
          <w:u w:val="single"/>
        </w:rPr>
        <w:t xml:space="preserve">￥        </w:t>
      </w:r>
      <w:r>
        <w:rPr>
          <w:rFonts w:hint="eastAsia" w:ascii="仿宋_GB2312" w:hAnsi="仿宋_GB2312" w:eastAsia="仿宋_GB2312" w:cs="仿宋_GB2312"/>
          <w:color w:val="000000"/>
          <w:sz w:val="28"/>
          <w:szCs w:val="28"/>
        </w:rPr>
        <w:t xml:space="preserve">元，其中暂列金：人民币（大写）                 （小写） </w:t>
      </w:r>
      <w:r>
        <w:rPr>
          <w:rFonts w:hint="eastAsia" w:ascii="宋体" w:hAnsi="宋体" w:cs="宋体"/>
          <w:color w:val="000000"/>
          <w:sz w:val="28"/>
          <w:szCs w:val="28"/>
          <w:u w:val="single"/>
        </w:rPr>
        <w:t xml:space="preserve">￥                         </w:t>
      </w:r>
      <w:r>
        <w:rPr>
          <w:rFonts w:hint="eastAsia" w:ascii="仿宋_GB2312" w:hAnsi="仿宋_GB2312" w:eastAsia="仿宋_GB2312" w:cs="仿宋_GB2312"/>
          <w:color w:val="000000"/>
          <w:sz w:val="28"/>
          <w:szCs w:val="28"/>
        </w:rPr>
        <w:t>元。增值税税率：</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；增值税税额为：人民币（大写） </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，（小写）为</w:t>
      </w:r>
      <w:r>
        <w:rPr>
          <w:rFonts w:hint="eastAsia" w:ascii="宋体" w:hAnsi="宋体" w:cs="宋体"/>
          <w:color w:val="000000"/>
          <w:sz w:val="28"/>
          <w:szCs w:val="28"/>
          <w:u w:val="single"/>
        </w:rPr>
        <w:t>￥</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元。</w:t>
      </w:r>
    </w:p>
    <w:p w14:paraId="5E882BA6">
      <w:pPr>
        <w:adjustRightInd w:val="0"/>
        <w:snapToGrid w:val="0"/>
        <w:spacing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签约</w:t>
      </w:r>
      <w:r>
        <w:rPr>
          <w:rFonts w:hint="eastAsia" w:ascii="仿宋_GB2312" w:hAnsi="仿宋_GB2312" w:eastAsia="仿宋_GB2312" w:cs="仿宋_GB2312"/>
          <w:color w:val="000000"/>
          <w:sz w:val="28"/>
          <w:szCs w:val="28"/>
          <w:highlight w:val="yellow"/>
        </w:rPr>
        <w:t>合同单价（不含税）</w:t>
      </w:r>
      <w:r>
        <w:rPr>
          <w:rFonts w:hint="eastAsia" w:ascii="仿宋_GB2312" w:hAnsi="仿宋_GB2312" w:eastAsia="仿宋_GB2312" w:cs="仿宋_GB2312"/>
          <w:color w:val="000000"/>
          <w:sz w:val="28"/>
          <w:szCs w:val="28"/>
        </w:rPr>
        <w:t>为：人民币（大写）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，（小写）为 </w:t>
      </w:r>
      <w:r>
        <w:rPr>
          <w:rFonts w:hint="eastAsia" w:ascii="宋体" w:hAnsi="宋体" w:cs="宋体"/>
          <w:color w:val="000000"/>
          <w:sz w:val="28"/>
          <w:szCs w:val="28"/>
          <w:u w:val="single"/>
        </w:rPr>
        <w:t xml:space="preserve">￥                     </w:t>
      </w:r>
      <w:r>
        <w:rPr>
          <w:rFonts w:hint="eastAsia" w:ascii="仿宋_GB2312" w:hAnsi="仿宋_GB2312" w:eastAsia="仿宋_GB2312" w:cs="仿宋_GB2312"/>
          <w:color w:val="000000"/>
          <w:sz w:val="28"/>
          <w:szCs w:val="28"/>
        </w:rPr>
        <w:t>元。</w:t>
      </w:r>
    </w:p>
    <w:p w14:paraId="28FF7A57">
      <w:pPr>
        <w:pStyle w:val="2"/>
        <w:spacing w:before="0" w:after="0" w:line="560" w:lineRule="exact"/>
        <w:rPr>
          <w:rFonts w:hint="eastAsia" w:ascii="仿宋_GB2312" w:hAnsi="仿宋_GB2312" w:eastAsia="仿宋_GB2312" w:cs="仿宋_GB2312"/>
          <w:sz w:val="28"/>
          <w:szCs w:val="28"/>
        </w:rPr>
      </w:pPr>
      <w:bookmarkStart w:id="119" w:name="_Toc3679"/>
      <w:r>
        <w:rPr>
          <w:rFonts w:hint="eastAsia" w:ascii="仿宋_GB2312" w:hAnsi="仿宋_GB2312" w:eastAsia="仿宋_GB2312" w:cs="仿宋_GB2312"/>
          <w:sz w:val="28"/>
          <w:szCs w:val="28"/>
        </w:rPr>
        <w:t>第四条 合同工期</w:t>
      </w:r>
      <w:bookmarkEnd w:id="119"/>
    </w:p>
    <w:p w14:paraId="6C0518D2">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4.1 合同工期总日历天数为：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天。</w:t>
      </w:r>
    </w:p>
    <w:p w14:paraId="1A96197E">
      <w:pPr>
        <w:spacing w:line="56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 xml:space="preserve">4.2 </w:t>
      </w:r>
      <w:r>
        <w:rPr>
          <w:rFonts w:hint="eastAsia" w:ascii="仿宋_GB2312" w:hAnsi="仿宋_GB2312" w:eastAsia="仿宋_GB2312" w:cs="仿宋_GB2312"/>
          <w:sz w:val="28"/>
          <w:szCs w:val="28"/>
          <w:highlight w:val="yellow"/>
        </w:rPr>
        <w:t>以开工令为准；竣工日期：开工令下达后</w:t>
      </w:r>
      <w:r>
        <w:rPr>
          <w:rFonts w:hint="eastAsia" w:ascii="仿宋_GB2312" w:hAnsi="仿宋_GB2312" w:eastAsia="仿宋_GB2312" w:cs="仿宋_GB2312"/>
          <w:sz w:val="28"/>
          <w:szCs w:val="28"/>
          <w:highlight w:val="yellow"/>
          <w:u w:val="single"/>
        </w:rPr>
        <w:t xml:space="preserve">   </w:t>
      </w:r>
      <w:r>
        <w:rPr>
          <w:rFonts w:hint="eastAsia" w:ascii="仿宋_GB2312" w:hAnsi="仿宋_GB2312" w:eastAsia="仿宋_GB2312" w:cs="仿宋_GB2312"/>
          <w:sz w:val="28"/>
          <w:szCs w:val="28"/>
          <w:highlight w:val="yellow"/>
        </w:rPr>
        <w:t xml:space="preserve">日历天。进度报送：乙方须每周向发包人、监理单位、审计单位提交周工程量报表用于审核计量，未提供的后期不予调整。 </w:t>
      </w:r>
    </w:p>
    <w:p w14:paraId="0B5CAB27">
      <w:pPr>
        <w:spacing w:line="560" w:lineRule="exact"/>
        <w:ind w:firstLine="140" w:firstLineChars="5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 xml:space="preserve">   4.3 乙方应按照合同约定工期组织施工，确保甲方总工期目标的实现。因乙方原因造成的工期延误，甲方损失的费用由乙方负担；非乙方原因造成的工期延误、因发包人调整工期等可能产生的相关费用已包含在合同价款中，乙方不得因此向甲方提出索赔。</w:t>
      </w:r>
    </w:p>
    <w:p w14:paraId="7D1EA95E">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4.4因政府、发包人、甲方等原因导致项目不能及时开工或停工、窝工给乙方造成的人员、机械误工损失等风险已计入工程量清单的各项单价中，施工期间材料、人工、机械设备价格波动风险由乙方承担，不得因此提出索赔。因小区施工空间狭小导致的材料二次倒运费用，已包含在合同价款中，不另行支付。</w:t>
      </w:r>
    </w:p>
    <w:p w14:paraId="1C546FD0">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4.5若因乙方原因导致进度严重滞后，在甲方催告后仍未整改的，甲方有权变更或者解除合同，并重新选择施工队伍进场。乙方应在甲方规定的时间内退场完毕。若乙方未能在上述期限内退场，乙方遗留在项目现场的所有物品视为乙方的抛弃物，甲方有权处置，由此发生的费用及后果由乙方承担；若乙方届时仍有人员滞留项目现场，甲方有权以合理方式清场，由此发生的费用及后果由乙方承担。给甲方造成的损失、责任及甲方重新挑选施工队伍进场施工的费用以及甲方所接受的罚金、索赔等费用与责任，均由乙方承担。同时，甲方有权扣除乙方的履约保证金。</w:t>
      </w:r>
    </w:p>
    <w:p w14:paraId="6E52515B">
      <w:pPr>
        <w:pStyle w:val="2"/>
        <w:spacing w:before="0" w:after="0" w:line="560" w:lineRule="exact"/>
        <w:rPr>
          <w:rFonts w:hint="eastAsia" w:ascii="仿宋_GB2312" w:hAnsi="仿宋_GB2312" w:eastAsia="仿宋_GB2312" w:cs="仿宋_GB2312"/>
          <w:sz w:val="28"/>
          <w:szCs w:val="28"/>
        </w:rPr>
      </w:pPr>
      <w:bookmarkStart w:id="120" w:name="_Toc25201"/>
      <w:r>
        <w:rPr>
          <w:rFonts w:hint="eastAsia" w:ascii="仿宋_GB2312" w:hAnsi="仿宋_GB2312" w:eastAsia="仿宋_GB2312" w:cs="仿宋_GB2312"/>
          <w:sz w:val="28"/>
          <w:szCs w:val="28"/>
        </w:rPr>
        <w:t>第五条 质量标准</w:t>
      </w:r>
      <w:bookmarkEnd w:id="120"/>
    </w:p>
    <w:p w14:paraId="6708053F">
      <w:pPr>
        <w:spacing w:line="56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000000"/>
          <w:sz w:val="28"/>
          <w:szCs w:val="28"/>
        </w:rPr>
        <w:t>5.1 工程质量标准为：满</w:t>
      </w:r>
      <w:r>
        <w:rPr>
          <w:rFonts w:hint="eastAsia" w:ascii="仿宋_GB2312" w:hAnsi="仿宋_GB2312" w:eastAsia="仿宋_GB2312" w:cs="仿宋_GB2312"/>
          <w:sz w:val="28"/>
          <w:szCs w:val="28"/>
        </w:rPr>
        <w:t>足甲方与发包人总包合同对工程质量的约定。</w:t>
      </w:r>
    </w:p>
    <w:p w14:paraId="39BE1F06">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 具体施工必须满足以下要求：</w:t>
      </w:r>
    </w:p>
    <w:p w14:paraId="4DB8FA8D">
      <w:pPr>
        <w:spacing w:line="560" w:lineRule="exact"/>
        <w:ind w:firstLine="560" w:firstLineChars="200"/>
        <w:jc w:val="left"/>
        <w:rPr>
          <w:rFonts w:hint="eastAsia" w:ascii="仿宋_GB2312" w:hAnsi="仿宋_GB2312" w:eastAsia="仿宋_GB2312" w:cs="仿宋_GB2312"/>
          <w:color w:val="000000"/>
          <w:spacing w:val="-11"/>
          <w:sz w:val="28"/>
          <w:szCs w:val="28"/>
        </w:rPr>
      </w:pPr>
      <w:r>
        <w:rPr>
          <w:rFonts w:hint="eastAsia" w:ascii="仿宋_GB2312" w:hAnsi="仿宋_GB2312" w:eastAsia="仿宋_GB2312" w:cs="仿宋_GB2312"/>
          <w:color w:val="000000"/>
          <w:sz w:val="28"/>
          <w:szCs w:val="28"/>
        </w:rPr>
        <w:t>5.2.1 乙方应按本工程采用的施工技术规范，甲方提供的施工图及下发的技术交底要求，</w:t>
      </w:r>
      <w:r>
        <w:rPr>
          <w:rFonts w:hint="eastAsia" w:ascii="仿宋_GB2312" w:hAnsi="仿宋_GB2312" w:eastAsia="仿宋_GB2312" w:cs="仿宋_GB2312"/>
          <w:color w:val="000000"/>
          <w:spacing w:val="-11"/>
          <w:sz w:val="28"/>
          <w:szCs w:val="28"/>
        </w:rPr>
        <w:t>合理组织施工，加强质量控制，确保工程质量。</w:t>
      </w:r>
    </w:p>
    <w:p w14:paraId="4C70D71A">
      <w:pPr>
        <w:tabs>
          <w:tab w:val="left" w:pos="540"/>
          <w:tab w:val="left" w:pos="720"/>
        </w:tabs>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5.2.2 甲方按总包合同约定的有关质量标准对乙方完成的工作进行验收。如果质量不符合标准，乙方必须返工修复，其费用损失由乙方承担，若乙方拒绝修复、拖延修复、修复不达标准，甲方有权另行委托第三方代替乙方进行修复，由此发生的费用和对甲方造成的损失由乙方承担；工程质量不符合要求又无法修复的，由乙方负责赔偿包括发包人质量罚款等全部经济损失，且工期不予顺延，甲方有权在应付款项或履约保证金中扣除，不足部分有权要求乙方另行支付，同时有权解除合同。</w:t>
      </w:r>
    </w:p>
    <w:p w14:paraId="1FF8DF28">
      <w:pPr>
        <w:tabs>
          <w:tab w:val="left" w:pos="540"/>
          <w:tab w:val="left" w:pos="720"/>
        </w:tabs>
        <w:spacing w:line="560" w:lineRule="exact"/>
        <w:ind w:firstLine="560" w:firstLineChars="200"/>
        <w:jc w:val="left"/>
        <w:rPr>
          <w:rFonts w:hint="eastAsia" w:ascii="仿宋_GB2312" w:hAnsi="仿宋_GB2312" w:eastAsia="仿宋_GB2312" w:cs="仿宋_GB2312"/>
          <w:color w:val="000000"/>
          <w:spacing w:val="-11"/>
          <w:sz w:val="28"/>
          <w:szCs w:val="28"/>
        </w:rPr>
      </w:pPr>
      <w:r>
        <w:rPr>
          <w:rFonts w:hint="eastAsia" w:ascii="仿宋_GB2312" w:hAnsi="仿宋_GB2312" w:eastAsia="仿宋_GB2312" w:cs="仿宋_GB2312"/>
          <w:color w:val="000000"/>
          <w:sz w:val="28"/>
          <w:szCs w:val="28"/>
        </w:rPr>
        <w:t>5.2.3 乙方在每道工序完成并自检合格后通知甲方，甲方验收合格后通知现场监理进行验收检查。每道工序经甲方、现场监理验收合格后方能进行下道工序施工，同时乙方安排人员及车辆进行配合；施工现场发生违规行为，甲方有权制止和下发暂停施工令。甲方、现场监理进行检查和检验，</w:t>
      </w:r>
      <w:r>
        <w:rPr>
          <w:rFonts w:hint="eastAsia" w:ascii="仿宋_GB2312" w:hAnsi="仿宋_GB2312" w:eastAsia="仿宋_GB2312" w:cs="仿宋_GB2312"/>
          <w:color w:val="000000"/>
          <w:spacing w:val="-11"/>
          <w:sz w:val="28"/>
          <w:szCs w:val="28"/>
        </w:rPr>
        <w:t>不免除或减轻乙方按照合同约定应当承担的责任。</w:t>
      </w:r>
    </w:p>
    <w:p w14:paraId="2995CBC9">
      <w:pPr>
        <w:tabs>
          <w:tab w:val="left" w:pos="540"/>
          <w:tab w:val="left" w:pos="720"/>
        </w:tabs>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5.2.4 甲方及上级部门对乙方施工现场质量进行检查时，乙方要提供相关资料（含措施费用凭证），对检查中存在的问题，乙方要认真进行整改，整改完成后及时上报甲方进行复查。</w:t>
      </w:r>
    </w:p>
    <w:p w14:paraId="72B7B815">
      <w:pPr>
        <w:tabs>
          <w:tab w:val="left" w:pos="540"/>
          <w:tab w:val="left" w:pos="720"/>
        </w:tabs>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5.2.5 乙方必须按甲方要求做好单项、单位、分部、分项、检验批工程的质量记录、评定工作，保证工程质量评定的真实性、准确性、及时性。</w:t>
      </w:r>
    </w:p>
    <w:p w14:paraId="0D1DE436">
      <w:pPr>
        <w:tabs>
          <w:tab w:val="left" w:pos="540"/>
          <w:tab w:val="left" w:pos="720"/>
        </w:tabs>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5.2.6 乙方如果出现质量事故，必须在第一时间上报甲方，同时按照国家有关规定进行处理。</w:t>
      </w:r>
    </w:p>
    <w:p w14:paraId="4EC8925B">
      <w:pPr>
        <w:tabs>
          <w:tab w:val="left" w:pos="540"/>
          <w:tab w:val="left" w:pos="720"/>
        </w:tabs>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5.2.7本工程缺陷责任期与总包合同保持一致,缺陷责任期为</w:t>
      </w:r>
      <w:r>
        <w:rPr>
          <w:rFonts w:hint="eastAsia" w:ascii="仿宋_GB2312" w:hAnsi="仿宋_GB2312" w:eastAsia="仿宋_GB2312" w:cs="仿宋_GB2312"/>
          <w:color w:val="000000"/>
          <w:sz w:val="28"/>
          <w:szCs w:val="28"/>
          <w:u w:val="single"/>
        </w:rPr>
        <w:t>24</w:t>
      </w:r>
      <w:r>
        <w:rPr>
          <w:rFonts w:hint="eastAsia" w:ascii="仿宋_GB2312" w:hAnsi="仿宋_GB2312" w:eastAsia="仿宋_GB2312" w:cs="仿宋_GB2312"/>
          <w:color w:val="000000"/>
          <w:sz w:val="28"/>
          <w:szCs w:val="28"/>
        </w:rPr>
        <w:t>个月，乙方及其人员对本合同工程质量终身负责。缺陷责任从甲方的总包工程整体正式竣工验收日期算起。</w:t>
      </w:r>
    </w:p>
    <w:p w14:paraId="7FA3835F">
      <w:pPr>
        <w:pStyle w:val="2"/>
        <w:spacing w:before="0" w:after="0" w:line="560" w:lineRule="exact"/>
        <w:rPr>
          <w:rFonts w:hint="eastAsia" w:ascii="仿宋_GB2312" w:hAnsi="仿宋_GB2312" w:eastAsia="仿宋_GB2312" w:cs="仿宋_GB2312"/>
          <w:sz w:val="28"/>
          <w:szCs w:val="28"/>
        </w:rPr>
      </w:pPr>
      <w:bookmarkStart w:id="121" w:name="_Toc12411"/>
      <w:r>
        <w:rPr>
          <w:rFonts w:hint="eastAsia" w:ascii="仿宋_GB2312" w:hAnsi="仿宋_GB2312" w:eastAsia="仿宋_GB2312" w:cs="仿宋_GB2312"/>
          <w:sz w:val="28"/>
          <w:szCs w:val="28"/>
        </w:rPr>
        <w:t>第六条 材料供应、机械租赁和试验检测</w:t>
      </w:r>
      <w:bookmarkEnd w:id="121"/>
    </w:p>
    <w:p w14:paraId="3EF3DD4E">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6.1材料供应</w:t>
      </w:r>
      <w:r>
        <w:rPr>
          <w:rFonts w:hint="eastAsia" w:ascii="仿宋_GB2312" w:hAnsi="仿宋_GB2312" w:eastAsia="仿宋_GB2312" w:cs="仿宋_GB2312"/>
          <w:color w:val="000000"/>
          <w:sz w:val="28"/>
          <w:szCs w:val="28"/>
        </w:rPr>
        <w:t>：</w:t>
      </w:r>
    </w:p>
    <w:p w14:paraId="2C7DD4AD">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6.1.1本工程主要材料建设单位提供，其他材料由乙方自行采购。</w:t>
      </w:r>
    </w:p>
    <w:p w14:paraId="7254B46E">
      <w:pPr>
        <w:tabs>
          <w:tab w:val="left" w:pos="540"/>
          <w:tab w:val="left" w:pos="720"/>
        </w:tabs>
        <w:spacing w:line="560" w:lineRule="exact"/>
        <w:ind w:firstLine="562" w:firstLineChars="200"/>
        <w:jc w:val="left"/>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甲供材料清单：（见招标文件）</w:t>
      </w:r>
    </w:p>
    <w:p w14:paraId="369ADA05">
      <w:pPr>
        <w:tabs>
          <w:tab w:val="left" w:pos="540"/>
          <w:tab w:val="left" w:pos="720"/>
        </w:tabs>
        <w:spacing w:line="56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领用要求：</w:t>
      </w: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b/>
          <w:bCs/>
          <w:color w:val="000000"/>
          <w:sz w:val="28"/>
          <w:szCs w:val="28"/>
        </w:rPr>
        <w:t>（见招标文件）</w:t>
      </w:r>
    </w:p>
    <w:p w14:paraId="6DAAC79B">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6.1.2 主要材料及设备的选用权和价格的确定权归甲方所有：为确保工程质量，在设计单位进行施工图设计过程中，须向甲方书面出具一份拟用于本工程项目的主要材料及设备的规格型号、技术参数、档次、品牌、产地、性能等的详细清单。</w:t>
      </w:r>
    </w:p>
    <w:p w14:paraId="4BB884B0">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6.1.3 合同明确的甲供材料，乙方必须无条件使用，严禁自行采购，否则甲方有权认定乙方使用了不合格材料，乙方必须无偿返工并承担由此造成的一切损失和责任。且乙方领用出库的材料由乙方自行保管、堆码、遮盖、标识，费用由乙方承担，保管、堆码、遮盖、标识应符合甲方相关要求，并接受甲方监督。所有乙方领用的甲方材料发生的二次及多次转运均由乙方负责并承担转运费用。</w:t>
      </w:r>
    </w:p>
    <w:p w14:paraId="00C725B0">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6.1.4因天气、便道等原因致使车辆无法正常进入工地，乙方应积极配合，保证材料到场，若乙方不配合造成材料短缺，所引起的损失和费用乙方承担。</w:t>
      </w:r>
    </w:p>
    <w:p w14:paraId="72FD8AEE">
      <w:pPr>
        <w:spacing w:line="560" w:lineRule="exact"/>
        <w:ind w:firstLine="420" w:firstLineChars="1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6.1.5甲方将施工用电接至二级配电箱，二级以下配电箱由乙方负责；甲方提供施工用水接入端口；乙方的用电、用水设备、线路、电费、水费由乙方自行负责并承担费用。如该费用由甲方垫付的，甲方有权从乙方结算价款中直接扣除。</w:t>
      </w:r>
    </w:p>
    <w:p w14:paraId="03C7BCE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6.2机械设备和周转材料</w:t>
      </w:r>
    </w:p>
    <w:p w14:paraId="20A7CE34">
      <w:pPr>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6.2.1</w:t>
      </w:r>
      <w:r>
        <w:rPr>
          <w:rFonts w:hint="eastAsia" w:ascii="仿宋_GB2312" w:hAnsi="仿宋_GB2312" w:eastAsia="仿宋_GB2312" w:cs="仿宋_GB2312"/>
          <w:sz w:val="28"/>
          <w:szCs w:val="28"/>
        </w:rPr>
        <w:t>乙方应根据具体情况，配备满足本工程需要的机械设备和周转材料。</w:t>
      </w:r>
    </w:p>
    <w:p w14:paraId="609E6F44">
      <w:pPr>
        <w:spacing w:line="560" w:lineRule="exact"/>
        <w:ind w:firstLine="420" w:firstLineChars="15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6.2.2乙方自备的机械设备需符合安全性能要求，满足施工需要。乙方机械设备进场后、使用前，由甲乙双方共同对安全性能符合要求的进场机械进行现值评估，评估结果由双方签认后作为本合同的组成部分。乙方进场的机械必须服从甲方的统一管理。</w:t>
      </w:r>
    </w:p>
    <w:p w14:paraId="391F5D65">
      <w:pPr>
        <w:spacing w:line="560" w:lineRule="exact"/>
        <w:ind w:firstLine="560" w:firstLineChars="200"/>
        <w:jc w:val="left"/>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000000"/>
          <w:sz w:val="28"/>
          <w:szCs w:val="28"/>
        </w:rPr>
        <w:t>6.2.3 乙方同意：乙方中途退场，若甲方不使用乙方机械设备时，乙方进场的所有机械设备无条件退场，不得遗留甲方工地，阻碍甲方施工，乙方怠于撤离，导致机械设备损坏遗失的后果，或由此给甲方或第三方造成的损失均由乙方承担。</w:t>
      </w:r>
    </w:p>
    <w:p w14:paraId="034EAF6E">
      <w:pPr>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6.2.4乙方自购材料及要求：</w:t>
      </w:r>
    </w:p>
    <w:p w14:paraId="7CACCA3A">
      <w:pPr>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除合同约定的甲方提供的甲供材料外，合同工程所需的其它材料均由乙方自购。</w:t>
      </w:r>
    </w:p>
    <w:p w14:paraId="0BD706EA">
      <w:pPr>
        <w:spacing w:line="560" w:lineRule="exact"/>
        <w:ind w:firstLine="562" w:firstLineChars="200"/>
        <w:jc w:val="left"/>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推荐品牌清单：（见招标文件）</w:t>
      </w:r>
    </w:p>
    <w:p w14:paraId="53310284">
      <w:pPr>
        <w:spacing w:line="560" w:lineRule="exact"/>
        <w:ind w:firstLine="562"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b/>
          <w:bCs/>
          <w:color w:val="000000"/>
          <w:sz w:val="28"/>
          <w:szCs w:val="28"/>
        </w:rPr>
        <w:t>质量要求：（见招标文件）</w:t>
      </w:r>
    </w:p>
    <w:p w14:paraId="1A3A750C">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自行采购的辅料，必须符合国家、行业有关法律、法规、标准、规范要求，有出厂合格证及检验报告单，并经甲方检验后方可使用，否则，视为乙方使用了不合格材料，乙方必须无偿返工并承担由此造成的一切损失和责任；甲方的检验不免除乙方对其所购材料质量应负的责任和义务，使用该材料对工程和他人人身、财产造成损害的，乙方应承担一切责任。</w:t>
      </w:r>
    </w:p>
    <w:p w14:paraId="4FA900D6">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甲供材以外所需材料均由乙方自行采购，提供自检合格证，但应当在进场前由监理单位及招标人认可后，方可进场使用，且须由三检单位按有关技术规范要求对材料（设备）质量进行检验，最终须确保通过相关部门验收和移交（包含所有相应检测试验）。如甲方和监理单位对某种或某些材料的质量有异议，有权提出停止使用的要求，乙方必须无条件服从该要求。</w:t>
      </w:r>
    </w:p>
    <w:p w14:paraId="2191E36B">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确保产品质量，乙方采购的产品须为原产地原厂家生产的产品，不得贴牌。品种、规格、型号、性能、档次、技术参数等必须满足招标文件要求并得甲方书面确认后方可使用，同时甲方有权到该生产厂家生产线实地考察该批次产品的生产情况和产品质量，并取样封存，生产厂家需提供产品的生产证明及相关合格证明等资料，乙方须配合甲方的此项工作。</w:t>
      </w:r>
    </w:p>
    <w:p w14:paraId="74CE32E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乙方自行采购的材料质量引起的工程质量问题由乙方承担所造成的一切损失。乙方自行采购的材料必须选用甲方推荐的品牌或不低于推荐品牌质量标准的其他品牌；采用其他品牌的应附附件，注明详细品牌、相关技术参数、业绩等经评审小组评审。主要材料及设备的选用权和价格的确定权归甲方所有，乙方用于本工程项目的主要材料及设备的规格型号、技术参数、档次、品牌、产地、性能等需满足甲方及设计单位要求。</w:t>
      </w:r>
    </w:p>
    <w:p w14:paraId="25836FC8">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自带的用电、用水、生产、生活等材料、物资必须符合国家、行业有关法律、法规、标准、规范及甲方安全质量环保、文明施工、标准化管理等要求，否则，甲方有权要求替换符合要求的材料、物资，费用由乙方承担。</w:t>
      </w:r>
    </w:p>
    <w:p w14:paraId="3E641769">
      <w:pPr>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乙方负责提供的材料和设备，应向甲方提供材料和设备的合格证明及出厂证明，并对材料和设备的质量负责。如乙方采购的材料和设备不符合图纸或有关标准要求时，乙方应在甲方要求的合理期限内将不符合设计或有关标准要求的材料、工程设备运出施工场地，并重新采购符合要求的材料、工程设备，由此增加的费用和（或）延误的工期，由乙方承担。</w:t>
      </w:r>
    </w:p>
    <w:p w14:paraId="20E2E320">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6.3 试验检测</w:t>
      </w:r>
    </w:p>
    <w:p w14:paraId="3B2FFD25">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施工范围内的工程试验检测项目费用由乙方承担。</w:t>
      </w:r>
    </w:p>
    <w:p w14:paraId="3B0F48F6">
      <w:pPr>
        <w:pStyle w:val="2"/>
        <w:spacing w:before="0" w:after="0" w:line="560" w:lineRule="exact"/>
        <w:rPr>
          <w:rFonts w:hint="eastAsia" w:ascii="仿宋_GB2312" w:hAnsi="仿宋_GB2312" w:eastAsia="仿宋_GB2312" w:cs="仿宋_GB2312"/>
          <w:sz w:val="28"/>
          <w:szCs w:val="28"/>
        </w:rPr>
      </w:pPr>
      <w:bookmarkStart w:id="122" w:name="_Toc3089"/>
      <w:r>
        <w:rPr>
          <w:rFonts w:hint="eastAsia" w:ascii="仿宋_GB2312" w:hAnsi="仿宋_GB2312" w:eastAsia="仿宋_GB2312" w:cs="仿宋_GB2312"/>
          <w:sz w:val="28"/>
          <w:szCs w:val="28"/>
        </w:rPr>
        <w:t>第七条 双方的权利和义务</w:t>
      </w:r>
      <w:bookmarkEnd w:id="122"/>
    </w:p>
    <w:p w14:paraId="546EDB0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7.1.甲方：</w:t>
      </w:r>
    </w:p>
    <w:p w14:paraId="3BD4CD2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7.1.1 全面负责与设计单位、发包人、监理的联系和协调工作。加强对乙方农民工的定期点名制度，加强过程管控。</w:t>
      </w:r>
    </w:p>
    <w:p w14:paraId="6DCFC49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7.1.2 负责该工程项目控制测量、复测、试验工作，及时提供设计图纸、工程地质及地下管线等有关资料（变更原因影响的除外），负责施工、安全技术交底，协助解决施工中出现的技术难题。向乙方提供工程定位桩、水准点、坐标控制、施工图纸、技术交底、安全、质量和环境标准。</w:t>
      </w:r>
    </w:p>
    <w:p w14:paraId="56B6744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7.1.3负责工程测量定位、沉降观测，组织图纸会审，统一安排技术档案资料的收集整理及交工验收，负责竣工资料及各种质量评定表的收集、整理和汇总。</w:t>
      </w:r>
    </w:p>
    <w:p w14:paraId="3097BF4E">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7.1.4 负责按合同约定供应本工程所需的材料和设备。</w:t>
      </w:r>
    </w:p>
    <w:p w14:paraId="4892E24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7.1.5负责对乙方使用本合同资金的情况进行过程监控，</w:t>
      </w:r>
      <w:r>
        <w:rPr>
          <w:rFonts w:hint="eastAsia" w:ascii="仿宋_GB2312" w:hAnsi="仿宋_GB2312" w:eastAsia="仿宋_GB2312" w:cs="仿宋_GB2312"/>
          <w:color w:val="000000"/>
          <w:sz w:val="28"/>
          <w:szCs w:val="28"/>
        </w:rPr>
        <w:t>乙方应保证专款专用。</w:t>
      </w:r>
    </w:p>
    <w:p w14:paraId="4600DBC6">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7.1.6 负责依据发包人、监理及上级管理单位和部门的要求，结合本工程的实际情况，制定各项管理办法并送达乙方。</w:t>
      </w:r>
    </w:p>
    <w:p w14:paraId="29FC041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7.1.7负责工程的施工检查，对工程质量、安全生产、文明施工、环境、进度等进行监督检查和验收。向乙方派出质量监督员，监督乙方施工质量、现场管理、原材料使用。对不符合技术规范及质量要求的行为，有权要求乙方停工整顿或依据甲方的管理规定进行违约处理。</w:t>
      </w:r>
    </w:p>
    <w:p w14:paraId="44349814">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7.1.8 按照本合同约定的质量等级及施工图设计（含变更设计）、该项目规定使用的《技术规范》、甲方有关技术文件要求对乙方所施工的工程进行检查、验收、评比、兑现奖罚。</w:t>
      </w:r>
    </w:p>
    <w:p w14:paraId="30BB0EE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7.1.9 负责按本合同约定办理结算、支付。</w:t>
      </w:r>
    </w:p>
    <w:p w14:paraId="1338AE3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7.1.10负责进行工程各项常规试验和委外检测，其费用由乙方承担，甲方在乙方的计价款中扣除。</w:t>
      </w:r>
    </w:p>
    <w:p w14:paraId="0080EB3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7.1.11根据发包人对工期的要求及乙方合同履行情况，调整工程内容和工程数量，乙方不得因此向甲方索赔。</w:t>
      </w:r>
    </w:p>
    <w:p w14:paraId="6CCD933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7.1.12监督乙方的用工和工资支付情况。如乙方未按时支付其员工（包括农民工）工资时，甲方有权采取相应的解决措施：包括但不限于直接从乙方应得合同价款中代为支付，甲方的代为支付视为对乙方合同价款的支付。</w:t>
      </w:r>
    </w:p>
    <w:p w14:paraId="2596BD0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7.1.13如乙方为履行本合同向他人租赁物资、购买材料等，因未及时结清费用给甲方造成影响的，甲方有权暂不向乙方支付剩余合同价款直至解决问题为止。</w:t>
      </w:r>
    </w:p>
    <w:p w14:paraId="22DF1641">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7.1.14 甲方的驻工地代表若发生变更，应及时通知乙方。</w:t>
      </w:r>
    </w:p>
    <w:p w14:paraId="63658B7C">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7.1.15甲方提供的机械设备性能应满足施工的要求，及时运入场地，安装调试完毕，运行良好后交付乙方使用。</w:t>
      </w:r>
    </w:p>
    <w:p w14:paraId="49A50603">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7.1.16甲方提供的周转材料、低值易耗材料应按时运入现场交付乙方，保证施工需要。</w:t>
      </w:r>
    </w:p>
    <w:p w14:paraId="5AE4857E">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7.1.17就分包工程范围内的有关工作，甲方随时可以向乙方发出指令，乙方应执行；若乙方拒不执行指令，甲方可委托其他施工单位完成该指令事项，发生的费用从应付给乙方相应款项中扣除；若乙方完成工作不符合要求或甲方认为乙方无力完成分包工程，甲方可单方终止合同；甲方有权要求乙方更换甲方认为乙方不称职的人员。</w:t>
      </w:r>
    </w:p>
    <w:p w14:paraId="0BE21BE7">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7.2.乙方：</w:t>
      </w:r>
    </w:p>
    <w:p w14:paraId="7C551A52">
      <w:pPr>
        <w:spacing w:line="560" w:lineRule="exact"/>
        <w:ind w:firstLine="560" w:firstLineChars="200"/>
        <w:rPr>
          <w:rFonts w:hint="eastAsia" w:ascii="仿宋_GB2312" w:hAnsi="仿宋_GB2312" w:eastAsia="仿宋_GB2312" w:cs="仿宋_GB2312"/>
          <w:spacing w:val="-11"/>
          <w:sz w:val="28"/>
          <w:szCs w:val="28"/>
        </w:rPr>
      </w:pPr>
      <w:r>
        <w:rPr>
          <w:rFonts w:hint="eastAsia" w:ascii="仿宋_GB2312" w:hAnsi="仿宋_GB2312" w:eastAsia="仿宋_GB2312" w:cs="仿宋_GB2312"/>
          <w:sz w:val="28"/>
          <w:szCs w:val="28"/>
        </w:rPr>
        <w:t>7.2.1严格按照设计图纸、施工验收规范、有关技术要求及施工组织设计、技术交底等要求精心组织施工；若发现分包工程的设计或工程建设标准、技术要求存在错误、遗漏、失误或其它缺陷，立即通知甲方；认真执行三检制度（即自检，互检，工序交接检验制度），确保工程质量达到约定的标准；</w:t>
      </w:r>
      <w:r>
        <w:rPr>
          <w:rFonts w:hint="eastAsia" w:ascii="仿宋_GB2312" w:hAnsi="仿宋_GB2312" w:eastAsia="仿宋_GB2312" w:cs="仿宋_GB2312"/>
          <w:spacing w:val="-11"/>
          <w:sz w:val="28"/>
          <w:szCs w:val="28"/>
        </w:rPr>
        <w:t>对本分包范围内的工程质量向甲方负责。</w:t>
      </w:r>
    </w:p>
    <w:p w14:paraId="67DFBED6">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7.2.2投入满足施工所需的人、财、物，并纳入甲方经理部统一管理，施工负责人、技术负责人、质量安全负责人、特殊工种等主要人员的资格和上岗操作证复印件须报甲方备案，以上人员应保证及时到位并常驻现场进行对本工程的管理，离开工地必须向甲方履行请假手续。</w:t>
      </w:r>
    </w:p>
    <w:p w14:paraId="0DA90C1C">
      <w:pPr>
        <w:spacing w:line="560" w:lineRule="exact"/>
        <w:ind w:firstLine="560" w:firstLineChars="200"/>
        <w:rPr>
          <w:rFonts w:hint="eastAsia" w:ascii="仿宋_GB2312" w:hAnsi="仿宋_GB2312" w:eastAsia="仿宋_GB2312" w:cs="仿宋_GB2312"/>
          <w:color w:val="0000FF"/>
          <w:sz w:val="28"/>
          <w:szCs w:val="28"/>
        </w:rPr>
      </w:pPr>
      <w:r>
        <w:rPr>
          <w:rFonts w:hint="eastAsia" w:ascii="仿宋_GB2312" w:hAnsi="仿宋_GB2312" w:eastAsia="仿宋_GB2312" w:cs="仿宋_GB2312"/>
          <w:sz w:val="28"/>
          <w:szCs w:val="28"/>
        </w:rPr>
        <w:t>7.2.3乙方必须配备包括专职安全质量管理员等在内现场管理人员。加强安全教育，认真执行安全技术规范，严格遵守安全制度，落实安全计划，确保施工安全；必须为从事危险作业的农民工办理意外伤害保险，并为施工场地内自有人员生命财产和施工机械设备办理保险，支付保险费用。保险事故发生时，有责任尽力采取必要的措施，防止或者减少损失。承担由于自身责任造成的质量修改、返工、工期拖延、安全事故、现场脏乱造成的损失及各种罚款。</w:t>
      </w:r>
    </w:p>
    <w:p w14:paraId="29424505">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7.2.4加强现场管理，严格执行建设主管部门及环保、消防、环卫等有关部门对施工现场的管理规定；按甲方标准化工地要求设置标牌，搞好生活区的管理，做好自身责任区的治安保卫工作，做到文明施工。</w:t>
      </w:r>
    </w:p>
    <w:p w14:paraId="6E5EA928">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7.2.5自觉接受甲方、监理工程师、发包人及有关部门的管理、监督和检查。施工过程中投入必要的安全生产费用，采取完备的安全防护措施，消除事故隐患。</w:t>
      </w:r>
    </w:p>
    <w:p w14:paraId="408C434A">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7.2.6按时提交施工报表、完整的原始技术经济资料，配合甲方办理交工验收。</w:t>
      </w:r>
    </w:p>
    <w:p w14:paraId="5FFE4D1D">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7.2.7做好施工场地周围建筑物、构筑物、文物和地下管线和已完工程部分的成品保护工作；妥善保管、合理使用甲方提供或租赁使用的机具、周转材料及其他设施，因乙方责任发生损坏，自行承担由此引起的一切经济损失及各种罚款。</w:t>
      </w:r>
    </w:p>
    <w:p w14:paraId="39E14C91">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7.2.8服从甲方转发</w:t>
      </w:r>
      <w:r>
        <w:rPr>
          <w:rFonts w:hint="eastAsia" w:ascii="仿宋_GB2312" w:hAnsi="仿宋_GB2312" w:eastAsia="仿宋_GB2312" w:cs="仿宋_GB2312"/>
          <w:color w:val="000000"/>
          <w:sz w:val="28"/>
          <w:szCs w:val="28"/>
        </w:rPr>
        <w:t>的发包人及</w:t>
      </w:r>
      <w:r>
        <w:rPr>
          <w:rFonts w:hint="eastAsia" w:ascii="仿宋_GB2312" w:hAnsi="仿宋_GB2312" w:eastAsia="仿宋_GB2312" w:cs="仿宋_GB2312"/>
          <w:sz w:val="28"/>
          <w:szCs w:val="28"/>
        </w:rPr>
        <w:t>监理工程师的指令，履行总包合同约定的与本合同工程有关的所有义务及工作程序。</w:t>
      </w:r>
      <w:r>
        <w:rPr>
          <w:rFonts w:hint="eastAsia" w:ascii="仿宋_GB2312" w:hAnsi="仿宋_GB2312" w:eastAsia="仿宋_GB2312" w:cs="仿宋_GB2312"/>
          <w:color w:val="000000"/>
          <w:sz w:val="28"/>
          <w:szCs w:val="28"/>
        </w:rPr>
        <w:t>在本项工程中，发包人对甲方的要求以及甲方向发包人的承诺，对乙方具有同样的制约作用。</w:t>
      </w:r>
    </w:p>
    <w:p w14:paraId="13433A4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7.2.9负责分包工程施工场地的平整、施工界内的用水、用电（水源、电源甲乙双方应根据具体情况约定）及独立使用的施工便道和临时设施的修建和维护；自行承担自有人员的吃、住、行及施工机械设备的搬迁费用。</w:t>
      </w:r>
    </w:p>
    <w:p w14:paraId="151EB8D1">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7.2.10开工前编制施工组织设计、施工总进度计划、材料设备、半成品需求计划、用水、电计划等并报甲方审批；根据甲方施工组织设计总进度计划的要求，编制分包工程施工组织设计、年、月、旬、周施工计划，经甲方批准后严格实施。</w:t>
      </w:r>
    </w:p>
    <w:p w14:paraId="56A4DE4D">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7.2.11尊重监理,信守合同，维护甲方的信誉。自觉接受政府职能部门、发包人、甲方和监理的技术指导、安全质量监督检查。</w:t>
      </w:r>
    </w:p>
    <w:p w14:paraId="0DF1088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7.2.12不得将本工程分包范围内的部分或全部工程分包给其他单位或个人，禁止转包。</w:t>
      </w:r>
    </w:p>
    <w:p w14:paraId="72E1646E">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7.2.13已竣工工程未交付甲方之前，乙方应负责已完分包工程的成品保护工作，保护期间发生损坏，乙方自费予以修复。</w:t>
      </w:r>
    </w:p>
    <w:p w14:paraId="4BD6C90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7.2.14做好施工中各项目、各环节及分工序的监测、量测和试验，若委托甲方完成，甲方应收取相应的费用。</w:t>
      </w:r>
    </w:p>
    <w:p w14:paraId="09EB993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7.2.15如需甲方协助解决施工中出现的外围环境干扰，承担相应费用。</w:t>
      </w:r>
    </w:p>
    <w:p w14:paraId="2E61B43D">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7.2.16遵守国家有关法律、法规和乡规民约，因乙方施工导致的罚款、赔偿、诉讼等均由乙方负责，并承担相应的责任和费用。</w:t>
      </w:r>
    </w:p>
    <w:p w14:paraId="754C5928">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7.2.17按照国家现行法律法规和当地政府规定与农民工签订劳动合同。</w:t>
      </w:r>
    </w:p>
    <w:p w14:paraId="0D053AF0">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7.2.18施工负责人、技术负责人、质量安全负责人、特殊工种等主要人员的资格证和上岗操作证须向甲方提供原件核对，并留存复印件备案；且一线生产人员应符合国家法定年龄；乙方雇员进出场必须在甲方登记；否则，甲方有权解除合同。其中特殊工种的资格证及上岗操作证等必须按发包人及当地政府要求提供。</w:t>
      </w:r>
    </w:p>
    <w:p w14:paraId="1CB2AFC7">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7.2.19乙方应当建立健全职业健康安全体检制度，在进场前对其员工进行健康体检，并向甲方提供相关健康证明，以满足本合同施工作业需要。另乙方承诺按照甲方要求组织从事接触职业病危害作业人员进行岗位中职业健康体检，承诺定期（每年不少于1期）组织其管理管理人员及劳务人员进行体检，体检费用由乙方自行承担，体检报告应及时整理并提交给甲方的项目部。</w:t>
      </w:r>
    </w:p>
    <w:p w14:paraId="0E0E2DAD">
      <w:pPr>
        <w:pStyle w:val="1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7.2.20凡乙方为履行本合同所投入的人员，需向甲方提供以下实名制信息：基本信息应包括建筑工人和项目管理人员的身份证信息、文化程度、工种（专业）、技能（职称或岗位证书）等级和基本安全培训等信息。从业信息应包括工作岗位、劳动合同签订、考勤、工资支付和从业记录等信息。诚信信息应包括诚信评价、举报投诉、良好及不良行为记录等信息。乙方应每月向甲方提供人员花名册，保持动态更新，并配合甲方的检查,以便甲方备核。</w:t>
      </w:r>
    </w:p>
    <w:p w14:paraId="50FB0B28">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7.2.21乙方应当每月向甲方提供加盖乙方公章的工资发放单，按月足额发放工资，并接受甲方的监管。乙方必须及时、足额为履行本合同人员缴纳国家规定的社会保障费用。</w:t>
      </w:r>
    </w:p>
    <w:p w14:paraId="49E7D80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7.2.22乙方应书面授权委托本工程实施过程中的材料领用人和现场安全质量负责人，并将授权委托书、身份证明、签字交甲方相关部门备案留底，作为乙方合同履行中的签认依据。</w:t>
      </w:r>
    </w:p>
    <w:p w14:paraId="5E580805">
      <w:pPr>
        <w:spacing w:line="560" w:lineRule="exact"/>
        <w:ind w:firstLine="560" w:firstLineChars="200"/>
        <w:rPr>
          <w:rFonts w:hint="eastAsia" w:ascii="仿宋_GB2312" w:hAnsi="仿宋_GB2312" w:eastAsia="仿宋_GB2312" w:cs="仿宋_GB2312"/>
          <w:spacing w:val="-11"/>
          <w:sz w:val="28"/>
          <w:szCs w:val="28"/>
        </w:rPr>
      </w:pPr>
      <w:r>
        <w:rPr>
          <w:rFonts w:hint="eastAsia" w:ascii="仿宋_GB2312" w:hAnsi="仿宋_GB2312" w:eastAsia="仿宋_GB2312" w:cs="仿宋_GB2312"/>
          <w:sz w:val="28"/>
          <w:szCs w:val="28"/>
        </w:rPr>
        <w:t>7.2.23乙方应当安排其班组长在班组成立时与甲方签订《安全质量责任书》，并向甲方出具《安全质量承诺书》，乙方班组长与甲方签订的《安全质量责任书》及向甲方出具的《安全质量承诺书》.中的义务、</w:t>
      </w:r>
      <w:r>
        <w:rPr>
          <w:rFonts w:hint="eastAsia" w:ascii="仿宋_GB2312" w:hAnsi="仿宋_GB2312" w:eastAsia="仿宋_GB2312" w:cs="仿宋_GB2312"/>
          <w:spacing w:val="-11"/>
          <w:sz w:val="28"/>
          <w:szCs w:val="28"/>
        </w:rPr>
        <w:t>责任和承诺，视为乙方的义务、责任和承诺，对乙方产生效力。</w:t>
      </w:r>
    </w:p>
    <w:p w14:paraId="7238827A">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7.2.24乙方应按合同约定向甲方开具真实、有效、合格的增值税专用发票，并按实际提供应税服务情况，准确填写发票项目。</w:t>
      </w:r>
    </w:p>
    <w:p w14:paraId="7CF27A47">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7.2.25乙方开具的增值税发票（专用发票/普通发票）在送达甲方后如发生丢失、灭失，乙方应按照税法规定和甲方的要求及时向甲方提供丢失发票的存根联复印件，以及乙方所在地主管税务机关开具的《丢失增值税发票（专用发票/普通发票）已报税证明单》，积极协助甲方在税法规定期限内办理有关的进项税额的认证申办手续，如因乙方拒绝履行配合义务，造成甲方经济损失的，应由乙方承担。</w:t>
      </w:r>
    </w:p>
    <w:p w14:paraId="7D49EEA6">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7.2.26 在本合同发生变更涉及增值税专用发票记载项目发生变化时，如果甲方取得增值税专用发票尚未认证抵扣,乙方应于专用发票认证期限内办理红字增值税专用发票开具申请，并重新开具增值税专用发票。如果原增值税专用发票已经抵扣，乙方就合同增加的金额补开增值税专用发票，就减少的金额甲方负责办理红字增值税专用发票开具申请，乙方开具红字增值税专用发票。</w:t>
      </w:r>
    </w:p>
    <w:p w14:paraId="1855560F">
      <w:pPr>
        <w:spacing w:line="560" w:lineRule="exact"/>
        <w:ind w:firstLine="560" w:firstLineChars="200"/>
        <w:rPr>
          <w:rFonts w:hint="eastAsia" w:ascii="仿宋_GB2312" w:hAnsi="仿宋_GB2312" w:eastAsia="仿宋_GB2312" w:cs="仿宋_GB2312"/>
          <w:spacing w:val="-11"/>
          <w:sz w:val="28"/>
          <w:szCs w:val="28"/>
        </w:rPr>
      </w:pPr>
      <w:r>
        <w:rPr>
          <w:rFonts w:hint="eastAsia" w:ascii="仿宋_GB2312" w:hAnsi="仿宋_GB2312" w:eastAsia="仿宋_GB2312" w:cs="仿宋_GB2312"/>
          <w:sz w:val="28"/>
          <w:szCs w:val="28"/>
        </w:rPr>
        <w:t>7.2.27对本工程内容、</w:t>
      </w:r>
      <w:r>
        <w:rPr>
          <w:rFonts w:hint="eastAsia" w:ascii="仿宋_GB2312" w:hAnsi="仿宋_GB2312" w:eastAsia="仿宋_GB2312" w:cs="仿宋_GB2312"/>
          <w:spacing w:val="-11"/>
          <w:sz w:val="28"/>
          <w:szCs w:val="28"/>
        </w:rPr>
        <w:t>合同条款、价格等所悉信息赋有保密义务。</w:t>
      </w:r>
    </w:p>
    <w:p w14:paraId="1CD34BC0">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7.2.28 工程施工时，甲方提供打卡机，乙方需使用打卡机实名记录，并做好打卡机保护等工作。因使用不当，导致打卡机丢失或损坏，乙方需负责赔偿同型号设备或修复如初。</w:t>
      </w:r>
    </w:p>
    <w:p w14:paraId="710DD778">
      <w:pPr>
        <w:pStyle w:val="2"/>
        <w:spacing w:before="0" w:after="0" w:line="560" w:lineRule="exact"/>
        <w:rPr>
          <w:rFonts w:hint="eastAsia" w:ascii="仿宋_GB2312" w:hAnsi="仿宋_GB2312" w:eastAsia="仿宋_GB2312" w:cs="仿宋_GB2312"/>
          <w:sz w:val="28"/>
          <w:szCs w:val="28"/>
        </w:rPr>
      </w:pPr>
      <w:bookmarkStart w:id="123" w:name="_Toc31455"/>
      <w:r>
        <w:rPr>
          <w:rFonts w:hint="eastAsia" w:ascii="仿宋_GB2312" w:hAnsi="仿宋_GB2312" w:eastAsia="仿宋_GB2312" w:cs="仿宋_GB2312"/>
          <w:sz w:val="28"/>
          <w:szCs w:val="28"/>
        </w:rPr>
        <w:t>第八条 安全文明、环保施工</w:t>
      </w:r>
      <w:bookmarkEnd w:id="123"/>
    </w:p>
    <w:p w14:paraId="3B1004D0">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8.1乙方应遵守国家、地方政府及行发包人管部门颁布的有关施工安全、劳动保护、文明施工、卫生管理、环境保护等法规制度和甲方编制的本工程的关于安全、环保、现场文明施工、标准化管理方面的有关要求，严格按照安全环保标准组织施工，做好本工程的安全管理工作。</w:t>
      </w:r>
    </w:p>
    <w:p w14:paraId="709580E4">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8.2甲方根据需要在施工现场配置统一的安全、文明施工设施、保护器材、安全警告标示牌等，乙方承担相应费用。</w:t>
      </w:r>
    </w:p>
    <w:p w14:paraId="327EA929">
      <w:pPr>
        <w:spacing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8.3</w:t>
      </w:r>
      <w:r>
        <w:rPr>
          <w:rFonts w:hint="eastAsia" w:ascii="仿宋_GB2312" w:hAnsi="仿宋_GB2312" w:eastAsia="仿宋_GB2312" w:cs="仿宋_GB2312"/>
          <w:color w:val="000000"/>
          <w:sz w:val="28"/>
          <w:szCs w:val="28"/>
        </w:rPr>
        <w:t>乙方进场后必须接受甲方的安全教育，乙方应提供接受教育农民工的身份证原件审查，并提供复印件备案，由乙方授权委托人签认接受安全教育人员的花名册等安全教育资料。农民工未经培训合格，不得上岗作业；乙方要按照国家法律法规设置专职安全管理人员，保障施工现场的安全；特殊工种操作人员必须经过专业培训，取得证件，才能上岗。乙方应将人员培训的记录报甲方备案。</w:t>
      </w:r>
    </w:p>
    <w:p w14:paraId="402C46F6">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8.4乙方对本工程安全负责，应配备必要的安全防护设施，并按照国家有关安全生产法律、行政法规、操作规程执行，服从甲方安全监督和管理。乙方责任造成的人身伤亡、机械事故及其他财产损失均由乙方承担，同时一旦发生任何事故，乙方应立即采取一切合理必要的措施保护现场，防止损失的扩大，并立即向甲方报告事故详情。乙方应根据分包合同中安全生产管理协议的约定及甲方的指令，履行国家和工程所在地政府规定的有关事故处理程序。</w:t>
      </w:r>
    </w:p>
    <w:p w14:paraId="7DAB26A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建筑施工人员（含乙方在本合同范围内的雇员）团体意外险费用由乙方承担。</w:t>
      </w:r>
    </w:p>
    <w:p w14:paraId="29F5D178">
      <w:pPr>
        <w:spacing w:line="56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8.5 按照《中华人民共和国职业病防治法》的规定，乙方应对本单位参建人员进行职业病预防、检查、治疗和康复工作，并承担由此发生的相关费用。</w:t>
      </w:r>
    </w:p>
    <w:p w14:paraId="5671C07C">
      <w:pPr>
        <w:tabs>
          <w:tab w:val="left" w:pos="540"/>
          <w:tab w:val="left" w:pos="720"/>
        </w:tabs>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8.6乙方要做好文明施工和标准化建设。交工前乙方负责对已完工程进行保管并及时清理场地。如乙方违反上述约定，未进行及时清理而由甲方派员实施，乙方同意相关费用在当期计价款中扣除。施工时，应采取措施防止因施工原因致使工程、农田、水体、建筑物及其他设施受到污染和损害。应及时修建临时排水设施，保持施工场地排水通畅。按有关规定妥善处理因施工产生的废水、废气、噪声、淤泥、垃圾等各种影响环境污染的因素。由于乙方施工原因造成的环境污染事件，乙方应负全部责任并承担由此发生的所有费用。</w:t>
      </w:r>
    </w:p>
    <w:p w14:paraId="64F2315B">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8.7现场标识：施工现场显著位置设置五牌一图、重大风险源公示牌、农民工维权告知牌等，格式符合《管网类项目围挡及现场标识牌标准》；实行网格化管理的项目需设置网格化公示牌，明确责任人及联系方式。</w:t>
      </w:r>
    </w:p>
    <w:p w14:paraId="3A5C67DF">
      <w:pPr>
        <w:pStyle w:val="10"/>
        <w:spacing w:line="560" w:lineRule="exact"/>
        <w:ind w:firstLine="560" w:firstLineChars="200"/>
        <w:rPr>
          <w:rFonts w:hint="eastAsia" w:ascii="仿宋_GB2312" w:hAnsi="仿宋_GB2312" w:eastAsia="仿宋_GB2312" w:cs="仿宋_GB2312"/>
          <w:spacing w:val="-6"/>
          <w:sz w:val="28"/>
          <w:szCs w:val="28"/>
        </w:rPr>
      </w:pPr>
      <w:r>
        <w:rPr>
          <w:rFonts w:hint="eastAsia" w:ascii="仿宋_GB2312" w:hAnsi="仿宋_GB2312" w:eastAsia="仿宋_GB2312" w:cs="仿宋_GB2312"/>
          <w:sz w:val="28"/>
          <w:szCs w:val="28"/>
        </w:rPr>
        <w:t>8.8防护要求：特种作业人员穿深蓝色反光上衣，高处作业佩戴五点式安全带；</w:t>
      </w:r>
      <w:r>
        <w:rPr>
          <w:rFonts w:hint="eastAsia" w:ascii="仿宋_GB2312" w:hAnsi="仿宋_GB2312" w:eastAsia="仿宋_GB2312" w:cs="仿宋_GB2312"/>
          <w:spacing w:val="-6"/>
          <w:sz w:val="28"/>
          <w:szCs w:val="28"/>
        </w:rPr>
        <w:t>施工围挡需实现封闭隔离，设置降尘、照明、隔音设施。</w:t>
      </w:r>
    </w:p>
    <w:p w14:paraId="06099A80">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8.9扬尘控制：施工工地设置自动喷淋降尘系统，施工时连续喷淋；工程取土、拆除、市政道路破除作业时持续开启雾炮车，易扬尘材料超过24小时未施工的需用防尘网或绿毡布覆盖；渣土运输车辆冲洗干净后方可驶出。 </w:t>
      </w:r>
    </w:p>
    <w:p w14:paraId="3978D4BA">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8.10现场管理：施工产生的物料当天使用当天清理，垃圾当天清运；未完成工作面需做好围挡、防护及夜间照明，影响通行的施工部分需用钢板铺设并做防噪处理。 </w:t>
      </w:r>
    </w:p>
    <w:p w14:paraId="6B85AE32">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8.11</w:t>
      </w:r>
      <w:r>
        <w:rPr>
          <w:rFonts w:hint="eastAsia" w:ascii="仿宋_GB2312" w:hAnsi="仿宋_GB2312" w:eastAsia="仿宋_GB2312" w:cs="仿宋_GB2312"/>
          <w:sz w:val="28"/>
          <w:szCs w:val="28"/>
          <w:highlight w:val="yellow"/>
        </w:rPr>
        <w:t>其他未尽的施工技术规范及相关安全文明施工措施等，需满足</w:t>
      </w:r>
      <w:r>
        <w:rPr>
          <w:rFonts w:hint="eastAsia" w:ascii="仿宋_GB2312" w:hAnsi="仿宋_GB2312" w:eastAsia="仿宋_GB2312" w:cs="仿宋_GB2312"/>
          <w:sz w:val="28"/>
          <w:szCs w:val="28"/>
          <w:highlight w:val="yellow"/>
          <w:u w:val="single"/>
        </w:rPr>
        <w:t>甲方及业主单位</w:t>
      </w:r>
      <w:r>
        <w:rPr>
          <w:rFonts w:hint="eastAsia" w:ascii="仿宋_GB2312" w:hAnsi="仿宋_GB2312" w:eastAsia="仿宋_GB2312" w:cs="仿宋_GB2312"/>
          <w:sz w:val="28"/>
          <w:szCs w:val="28"/>
          <w:highlight w:val="yellow"/>
        </w:rPr>
        <w:t>相关要求。</w:t>
      </w:r>
    </w:p>
    <w:p w14:paraId="0278B113">
      <w:pPr>
        <w:pStyle w:val="2"/>
        <w:spacing w:before="0" w:after="0" w:line="560" w:lineRule="exact"/>
        <w:rPr>
          <w:rFonts w:hint="eastAsia" w:ascii="仿宋_GB2312" w:hAnsi="仿宋_GB2312" w:eastAsia="仿宋_GB2312" w:cs="仿宋_GB2312"/>
          <w:sz w:val="28"/>
          <w:szCs w:val="28"/>
        </w:rPr>
      </w:pPr>
      <w:bookmarkStart w:id="124" w:name="_Toc29105"/>
      <w:r>
        <w:rPr>
          <w:rFonts w:hint="eastAsia" w:ascii="仿宋_GB2312" w:hAnsi="仿宋_GB2312" w:eastAsia="仿宋_GB2312" w:cs="仿宋_GB2312"/>
          <w:sz w:val="28"/>
          <w:szCs w:val="28"/>
        </w:rPr>
        <w:t>第九条 双方驻工地代表</w:t>
      </w:r>
      <w:bookmarkEnd w:id="124"/>
    </w:p>
    <w:p w14:paraId="6B2DD195">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9.1 甲方委派的担任驻工地履行本合同的工地代表为：</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，职务：项目经理，联系方式：</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，负责本工程安全质量监察，进度及质量控制、检查及其它事项，负责审批收方结算资料等文件，签发或发布相关指令。</w:t>
      </w:r>
    </w:p>
    <w:p w14:paraId="57CE3D5C">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9.2乙方委派的担任驻工地履行本合同的工地代表为:</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，身份证号：</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，联系方式：</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负责本合同工作内容组织实施，处理施工中的收方结算、材料领用、签订补充协议及其他书面往来文件、结算领取工程款、材料领用、结算签字、往来文件签收等相关事宜。乙方工地代表需实际到岗，未到岗或更换的，甲方有权解除合同并没收全部履约保证金。</w:t>
      </w:r>
    </w:p>
    <w:p w14:paraId="1E14E97C">
      <w:pPr>
        <w:pStyle w:val="10"/>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9.3 甲乙双方若需更换驻工地代表，应及时通知另一方。甲方有权要求撤换不能胜任本职工作、行为不端或玩忽职守的乙方驻工地代表和其他人员，乙方应予以撤换。</w:t>
      </w:r>
    </w:p>
    <w:p w14:paraId="234E0594">
      <w:pPr>
        <w:pStyle w:val="10"/>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9.4双方约定：甲方出具并经甲方审核程序及工地代表亲笔签字并加盖甲方项目部公章的结算单，作为施工期间和最终结算、付款的唯一依据，除此之外乙方持有的任何证明、收条、欠条、信函等文件资料，都不得作为结算、付款依据。甲方其他人员的任何签字都不具有该事项最终确认的效力。</w:t>
      </w:r>
    </w:p>
    <w:p w14:paraId="0338B5D8">
      <w:pPr>
        <w:pStyle w:val="10"/>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9.5 施工期间乙方工地代表每月在工地不少于22天由甲方或监理单位进行考核，未经甲方和监理单位许可，乙方工地代表每缺岗一天，乙方承担 2000元/天的违约金，累计 10天的，视为项目经理未实际到岗，甲方有权无条件解除合同，没收全额履约保证金。</w:t>
      </w:r>
    </w:p>
    <w:p w14:paraId="31A4BFFD">
      <w:pPr>
        <w:pStyle w:val="2"/>
        <w:spacing w:before="0" w:after="0" w:line="560" w:lineRule="exact"/>
        <w:rPr>
          <w:rFonts w:hint="eastAsia" w:ascii="仿宋_GB2312" w:hAnsi="仿宋_GB2312" w:eastAsia="仿宋_GB2312" w:cs="仿宋_GB2312"/>
          <w:sz w:val="28"/>
          <w:szCs w:val="28"/>
        </w:rPr>
      </w:pPr>
      <w:bookmarkStart w:id="125" w:name="_Toc11191"/>
      <w:r>
        <w:rPr>
          <w:rFonts w:hint="eastAsia" w:ascii="仿宋_GB2312" w:hAnsi="仿宋_GB2312" w:eastAsia="仿宋_GB2312" w:cs="仿宋_GB2312"/>
          <w:sz w:val="28"/>
          <w:szCs w:val="28"/>
        </w:rPr>
        <w:t>第十条 工程价款的结算与支付</w:t>
      </w:r>
      <w:bookmarkEnd w:id="125"/>
    </w:p>
    <w:p w14:paraId="1866204F">
      <w:pPr>
        <w:spacing w:line="56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10.1计量</w:t>
      </w:r>
    </w:p>
    <w:p w14:paraId="20F2478D">
      <w:pPr>
        <w:adjustRightInd w:val="0"/>
        <w:snapToGrid w:val="0"/>
        <w:spacing w:line="560" w:lineRule="exact"/>
        <w:ind w:firstLine="560" w:firstLineChars="200"/>
        <w:jc w:val="left"/>
        <w:rPr>
          <w:rFonts w:hint="eastAsia" w:ascii="仿宋_GB2312" w:hAnsi="仿宋_GB2312" w:eastAsia="仿宋_GB2312" w:cs="仿宋_GB2312"/>
          <w:color w:val="000000"/>
          <w:sz w:val="28"/>
          <w:szCs w:val="28"/>
          <w:highlight w:val="yellow"/>
        </w:rPr>
      </w:pPr>
      <w:r>
        <w:rPr>
          <w:rFonts w:hint="eastAsia" w:ascii="仿宋_GB2312" w:hAnsi="仿宋_GB2312" w:eastAsia="仿宋_GB2312" w:cs="仿宋_GB2312"/>
          <w:color w:val="000000"/>
          <w:sz w:val="28"/>
          <w:szCs w:val="28"/>
          <w:highlight w:val="yellow"/>
          <w:lang w:val="zh-CN"/>
        </w:rPr>
        <w:t>按双方认可的实际发生的</w:t>
      </w:r>
      <w:r>
        <w:rPr>
          <w:rFonts w:hint="eastAsia" w:ascii="仿宋_GB2312" w:hAnsi="仿宋_GB2312" w:eastAsia="仿宋_GB2312" w:cs="仿宋_GB2312"/>
          <w:color w:val="000000"/>
          <w:sz w:val="28"/>
          <w:szCs w:val="28"/>
          <w:highlight w:val="yellow"/>
          <w:u w:val="single"/>
        </w:rPr>
        <w:t xml:space="preserve">       （车次/实方）</w:t>
      </w:r>
      <w:r>
        <w:rPr>
          <w:rFonts w:hint="eastAsia" w:ascii="仿宋_GB2312" w:hAnsi="仿宋_GB2312" w:eastAsia="仿宋_GB2312" w:cs="仿宋_GB2312"/>
          <w:color w:val="000000"/>
          <w:sz w:val="28"/>
          <w:szCs w:val="28"/>
          <w:highlight w:val="yellow"/>
          <w:lang w:val="zh-CN"/>
        </w:rPr>
        <w:t>为准</w:t>
      </w:r>
      <w:r>
        <w:rPr>
          <w:rFonts w:hint="eastAsia" w:ascii="仿宋_GB2312" w:hAnsi="仿宋_GB2312" w:eastAsia="仿宋_GB2312" w:cs="仿宋_GB2312"/>
          <w:color w:val="000000"/>
          <w:sz w:val="28"/>
          <w:szCs w:val="28"/>
          <w:highlight w:val="yellow"/>
        </w:rPr>
        <w:t>结算。乙方不得以运输量增减、工程进度、价格浮动、法定节假日加班等一切因素影响而要求甲方变更合同单价。</w:t>
      </w:r>
    </w:p>
    <w:p w14:paraId="09AF9F54">
      <w:pPr>
        <w:pStyle w:val="16"/>
        <w:spacing w:line="560" w:lineRule="exact"/>
        <w:ind w:left="0" w:leftChars="0" w:firstLine="562"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10.2付款方式</w:t>
      </w:r>
    </w:p>
    <w:p w14:paraId="31800859">
      <w:pPr>
        <w:pStyle w:val="16"/>
        <w:spacing w:line="560" w:lineRule="exact"/>
        <w:ind w:left="0" w:leftChars="0" w:firstLine="562" w:firstLineChars="0"/>
        <w:jc w:val="left"/>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（1）本工程无预付款；每月根据工程进度支付已完工程量工程款的 70%进度款；总包工程完工后付至已完工程量的80%，总包工程竣工验收合格后付至已完工程量的90%；审计结算后开具全额增值税专用发票，付至结算价的97%，余款 3%作为质保金，待质保期满且承包人完全履行了保修义务质量回访合格后付至审定价款的100%（无息）。质保期为工程竣工验收合格之日起计两年。</w:t>
      </w:r>
    </w:p>
    <w:p w14:paraId="17CD05F7">
      <w:pPr>
        <w:pStyle w:val="16"/>
        <w:spacing w:line="560" w:lineRule="exact"/>
        <w:ind w:left="0" w:leftChars="0" w:firstLine="562" w:firstLineChars="0"/>
        <w:jc w:val="left"/>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（2）如承包人未按合同约定向发包人支付违约金，发包人可从当期应付工程进度款中直接扣除同等金额。</w:t>
      </w:r>
    </w:p>
    <w:p w14:paraId="2F6AA115">
      <w:pPr>
        <w:pStyle w:val="16"/>
        <w:spacing w:line="560" w:lineRule="exact"/>
        <w:ind w:left="0" w:leftChars="0" w:firstLine="562" w:firstLineChars="0"/>
        <w:jc w:val="left"/>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（3）每笔款项支付前，承包人须事先报送书面的款项申请，并提供当期已完成工程量计量文件及其他满足付款条件的证明材料，经发包人审核通过后支付。</w:t>
      </w:r>
    </w:p>
    <w:p w14:paraId="28B27FFE">
      <w:pPr>
        <w:pStyle w:val="16"/>
        <w:spacing w:line="560" w:lineRule="exact"/>
        <w:ind w:left="0" w:leftChars="0" w:firstLine="562" w:firstLineChars="0"/>
        <w:jc w:val="left"/>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（4）付款方式为银行转账。若采用其他方式则产生的贴息由承包人承担。</w:t>
      </w:r>
    </w:p>
    <w:p w14:paraId="62E4F32F">
      <w:pPr>
        <w:widowControl/>
        <w:tabs>
          <w:tab w:val="left" w:pos="8200"/>
          <w:tab w:val="left" w:pos="8364"/>
          <w:tab w:val="left" w:pos="8400"/>
        </w:tabs>
        <w:spacing w:line="560" w:lineRule="exact"/>
        <w:ind w:right="99" w:rightChars="47"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乙方收款银行账户名称：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14:paraId="04524FF5">
      <w:pPr>
        <w:widowControl/>
        <w:tabs>
          <w:tab w:val="left" w:pos="8200"/>
          <w:tab w:val="left" w:pos="8364"/>
          <w:tab w:val="left" w:pos="8400"/>
        </w:tabs>
        <w:spacing w:line="560" w:lineRule="exact"/>
        <w:ind w:right="99" w:rightChars="47"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开户行：</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14:paraId="64D22379">
      <w:pPr>
        <w:widowControl/>
        <w:tabs>
          <w:tab w:val="left" w:pos="8200"/>
          <w:tab w:val="left" w:pos="8364"/>
          <w:tab w:val="left" w:pos="8400"/>
        </w:tabs>
        <w:spacing w:line="560" w:lineRule="exact"/>
        <w:ind w:right="99" w:rightChars="47"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账号：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14:paraId="6CA7BF02">
      <w:pPr>
        <w:tabs>
          <w:tab w:val="left" w:pos="426"/>
        </w:tabs>
        <w:snapToGrid w:val="0"/>
        <w:spacing w:line="560" w:lineRule="exact"/>
        <w:ind w:firstLine="571" w:firstLineChars="20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10.3其他要求</w:t>
      </w:r>
    </w:p>
    <w:p w14:paraId="7A5798B3">
      <w:pPr>
        <w:tabs>
          <w:tab w:val="left" w:pos="426"/>
        </w:tabs>
        <w:snapToGrid w:val="0"/>
        <w:spacing w:line="560" w:lineRule="exact"/>
        <w:ind w:firstLine="571" w:firstLineChars="204"/>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zh-CN"/>
        </w:rPr>
        <w:t>乙方须在甲方每次付款前向甲方提供合法有效的，与结算金额等额的增值税</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lang w:val="zh-CN"/>
        </w:rPr>
        <w:t>发票。乙方未提供发票或者提供虚假发票的，甲方有权拒绝付款，因乙方未及时开具发票或者开具不符合合同约定及法律规定的发票而造成的付款延迟等后果由乙方自行承担</w:t>
      </w:r>
      <w:r>
        <w:rPr>
          <w:rFonts w:hint="eastAsia" w:ascii="仿宋_GB2312" w:hAnsi="仿宋_GB2312" w:eastAsia="仿宋_GB2312" w:cs="仿宋_GB2312"/>
          <w:sz w:val="28"/>
          <w:szCs w:val="28"/>
          <w:lang w:val="zh-CN" w:bidi="ar"/>
        </w:rPr>
        <w:t>，乙方未提供发票无权向甲方主张逾期利息</w:t>
      </w:r>
      <w:r>
        <w:rPr>
          <w:rFonts w:hint="eastAsia" w:ascii="仿宋_GB2312" w:hAnsi="仿宋_GB2312" w:eastAsia="仿宋_GB2312" w:cs="仿宋_GB2312"/>
          <w:sz w:val="28"/>
          <w:szCs w:val="28"/>
          <w:lang w:val="zh-CN"/>
        </w:rPr>
        <w:t>。发票的开票单位必须为乙方单位，抬头单位必须为甲方单位，并按照合同实际履行情况，准确填写发票项目。一切税费由乙方自行承担，</w:t>
      </w:r>
      <w:r>
        <w:rPr>
          <w:rFonts w:hint="eastAsia" w:ascii="仿宋_GB2312" w:hAnsi="仿宋_GB2312" w:eastAsia="仿宋_GB2312" w:cs="仿宋_GB2312"/>
          <w:sz w:val="28"/>
          <w:szCs w:val="28"/>
          <w:lang w:val="zh-CN" w:bidi="ar"/>
        </w:rPr>
        <w:t>货款付至合同项下乙方银行账户。</w:t>
      </w:r>
    </w:p>
    <w:p w14:paraId="0D89F74D">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（2）因乙方原因无法向甲方开具协议约定发票，无论是否导致本协议终止、变更、解除，乙方均应按合同额的</w:t>
      </w:r>
      <w:r>
        <w:rPr>
          <w:rFonts w:hint="eastAsia" w:ascii="仿宋_GB2312" w:hAnsi="仿宋_GB2312" w:eastAsia="仿宋_GB2312" w:cs="仿宋_GB2312"/>
          <w:sz w:val="28"/>
          <w:szCs w:val="28"/>
          <w:u w:val="single"/>
        </w:rPr>
        <w:t xml:space="preserve"> 5 </w:t>
      </w:r>
      <w:r>
        <w:rPr>
          <w:rFonts w:hint="eastAsia" w:ascii="仿宋_GB2312" w:hAnsi="仿宋_GB2312" w:eastAsia="仿宋_GB2312" w:cs="仿宋_GB2312"/>
          <w:sz w:val="28"/>
          <w:szCs w:val="28"/>
        </w:rPr>
        <w:t>%向甲方承担违约责任，同时不免除乙方向甲方开具协议约定发票的义务。乙方应遵守国家法律规定，不得虚开增值税发票，否则自行承担相应法律责任。</w:t>
      </w:r>
    </w:p>
    <w:p w14:paraId="00E10A96">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（3）乙方确认：甲方按合同约定办理结算后，以短信方式通知乙方，乙方接收短信的手机号码为【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合同履行过程中，甲方向该号码短信送达的任何信息均视为已向乙方送达。如乙方变更该号码，则应当以书面形式通知甲方，否则甲方送达原号码的信息仍然视为已送达。乙方如对短信内容有异议的应当在收到短信后三日内与甲方核对，否则视为乙方已认可短信内容。</w:t>
      </w:r>
    </w:p>
    <w:p w14:paraId="545FC627">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（4）合同签订后，合同不含税单价维持不变，增值税专用发票税率、税金和含税单价随国家政策的调整而调整。</w:t>
      </w:r>
    </w:p>
    <w:p w14:paraId="79419FB5">
      <w:pPr>
        <w:spacing w:line="56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（5)本合同项下所有款项支付均是优先支付本金。</w:t>
      </w:r>
    </w:p>
    <w:p w14:paraId="6598CA61">
      <w:pPr>
        <w:spacing w:line="56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10.4结算方式</w:t>
      </w:r>
    </w:p>
    <w:p w14:paraId="3198CD2C">
      <w:pPr>
        <w:spacing w:line="56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10.4.1工程最终结算价=有效工程量*全费用单价*费率±有效签证 （有效工程量为财政审计后的工程量，有效签证同为财政审计后的签证，费率=中标价/最高招标限价）。</w:t>
      </w:r>
    </w:p>
    <w:p w14:paraId="4E03D3F8">
      <w:pPr>
        <w:spacing w:line="56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10.4.2设计变更与现场签证的价格调整</w:t>
      </w:r>
    </w:p>
    <w:p w14:paraId="03E7B9C6">
      <w:pPr>
        <w:spacing w:line="56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因甲方原因造成或经甲方书面同意的设计变更、现场签证，按如下办法进行相应的价款调整：</w:t>
      </w:r>
    </w:p>
    <w:p w14:paraId="6BCE8AE3">
      <w:pPr>
        <w:numPr>
          <w:ilvl w:val="0"/>
          <w:numId w:val="5"/>
        </w:numPr>
        <w:spacing w:line="560" w:lineRule="exact"/>
        <w:ind w:firstLine="560" w:firstLineChars="200"/>
        <w:rPr>
          <w:rFonts w:hint="eastAsia" w:ascii="仿宋_GB2312" w:hAnsi="宋体" w:eastAsia="仿宋_GB2312" w:cs="仿宋_GB2312"/>
          <w:color w:val="000000"/>
          <w:sz w:val="28"/>
          <w:szCs w:val="28"/>
        </w:rPr>
      </w:pPr>
      <w:r>
        <w:rPr>
          <w:rFonts w:hint="eastAsia" w:ascii="仿宋_GB2312" w:hAnsi="宋体" w:eastAsia="仿宋_GB2312" w:cs="仿宋_GB2312"/>
          <w:color w:val="000000"/>
          <w:sz w:val="28"/>
          <w:szCs w:val="28"/>
        </w:rPr>
        <w:t>已标价工程量清单中有适用于变更工程项目的，采用该项目的单价，除外情形：①对于投标报价中分部分项工程项目单价高于最高投标限价相应子目单价的清单项目，工程量增加幅度超过本项目工程数量 15%的，超过 15%的增加部分工程量的单价按最高投标限价相应子目单价与承包人报价浮动率【承包人报价浮动率 L=（1—中标价/最高投标限价）×100%，下同】同比下浮，确定工程变更单价，作为结算的依据，但最高投标限价相应子目单价有明显错误的除外；②对于投标报价中分部分项工程项目单价低于最高投标限价相应子目单价的幅度超过承包人报价浮动率的，工程量减少幅度超过本项目工程数量15%的，超过 15%的减少部分工程量的单价按最高投标限价相应子目单价与承包人报价浮动率同比下浮，确定工程变更单价，作为结算的依据，但最高投标限价相应子目单价有明显错误的除外；</w:t>
      </w:r>
    </w:p>
    <w:p w14:paraId="6DB31BE0">
      <w:pPr>
        <w:spacing w:line="560" w:lineRule="exact"/>
        <w:ind w:firstLine="560" w:firstLineChars="200"/>
        <w:rPr>
          <w:rFonts w:hint="eastAsia" w:ascii="仿宋_GB2312" w:hAnsi="宋体" w:eastAsia="仿宋_GB2312" w:cs="仿宋_GB2312"/>
          <w:color w:val="000000"/>
          <w:sz w:val="28"/>
          <w:szCs w:val="28"/>
        </w:rPr>
      </w:pPr>
      <w:r>
        <w:rPr>
          <w:rFonts w:hint="eastAsia" w:ascii="仿宋_GB2312" w:hAnsi="宋体" w:eastAsia="仿宋_GB2312" w:cs="仿宋_GB2312"/>
          <w:color w:val="000000"/>
          <w:sz w:val="28"/>
          <w:szCs w:val="28"/>
        </w:rPr>
        <w:t>（2）已标价工程量清单中没有适用但有类似于变更工程项目的，可在合理范围内参照类似项目的单价。</w:t>
      </w:r>
    </w:p>
    <w:p w14:paraId="0B41527F">
      <w:pPr>
        <w:spacing w:line="560" w:lineRule="exact"/>
        <w:ind w:firstLine="560" w:firstLineChars="200"/>
        <w:rPr>
          <w:rFonts w:hint="eastAsia" w:ascii="仿宋_GB2312" w:hAnsi="宋体" w:eastAsia="仿宋_GB2312" w:cs="仿宋_GB2312"/>
          <w:color w:val="000000"/>
          <w:sz w:val="28"/>
          <w:szCs w:val="28"/>
        </w:rPr>
      </w:pPr>
      <w:r>
        <w:rPr>
          <w:rFonts w:hint="eastAsia" w:ascii="仿宋_GB2312" w:hAnsi="宋体" w:eastAsia="仿宋_GB2312" w:cs="仿宋_GB2312"/>
          <w:color w:val="000000"/>
          <w:sz w:val="28"/>
          <w:szCs w:val="28"/>
        </w:rPr>
        <w:t>（3）投标报价中没有适用也没有类似于变更工程项目的，由乙方根据变更工程资料、合同签订时的计量和计价规则、当期的工程造价管理机构发布的信息价格，提出变更工程项目的单价，经建设单位审核双方认可作为结算依据；</w:t>
      </w:r>
    </w:p>
    <w:p w14:paraId="640677D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已标价工程量清单中没有适用也没有类似于变更工程项目的，且工程造价管理机构发布的信息价缺价的，应由乙方根据变更工程资料、合同签订时的计量和计价规则和通过市场调查等取得有合法依据的市场价格，提出变更工程项目的单价，经建设单位审核双方认可作为结算依据；以上主材价格不下浮；</w:t>
      </w:r>
    </w:p>
    <w:p w14:paraId="672FC18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10.4.3工程量清单详见附件，清单单价为全费用不含税综合单价。</w:t>
      </w:r>
    </w:p>
    <w:p w14:paraId="2E1F424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10.4.4承包人需在工程项目竣工验收后2个月内完成竣工验收移交表，自验收时间起算，整理报送工程竣工资料，逾期未报送的，自行承担相应责任。</w:t>
      </w:r>
    </w:p>
    <w:p w14:paraId="003DDA5D">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10.4.5承包人提交工程结算应遵循诚信原则，若（A-B）/B &gt;10%时（其中：A指承包人送审的工程结算总造价，B指审定最终工程结算总造价），则超出10%部分的审计费用（按皖价服[2007]86号文件规定收费标准计算）由承包人承担，并由发包人在支付工程款时直接予以扣除。若（A-B）/B &gt;15%时，追加超出15%部分结算编审费用款项2倍的处罚,并由发包人在支付工程款时直接予以扣除。</w:t>
      </w:r>
    </w:p>
    <w:p w14:paraId="5FEEC2FA">
      <w:pPr>
        <w:pStyle w:val="2"/>
        <w:spacing w:before="0" w:after="0" w:line="560" w:lineRule="exact"/>
        <w:rPr>
          <w:rFonts w:hint="eastAsia" w:ascii="仿宋_GB2312" w:hAnsi="仿宋_GB2312" w:eastAsia="仿宋_GB2312" w:cs="仿宋_GB2312"/>
          <w:sz w:val="28"/>
          <w:szCs w:val="28"/>
        </w:rPr>
      </w:pPr>
      <w:bookmarkStart w:id="126" w:name="_Toc10660"/>
      <w:r>
        <w:rPr>
          <w:rFonts w:hint="eastAsia" w:ascii="仿宋_GB2312" w:hAnsi="仿宋_GB2312" w:eastAsia="仿宋_GB2312" w:cs="仿宋_GB2312"/>
          <w:sz w:val="28"/>
          <w:szCs w:val="28"/>
        </w:rPr>
        <w:t>第十一条 税务</w:t>
      </w:r>
      <w:bookmarkEnd w:id="126"/>
    </w:p>
    <w:p w14:paraId="65BADC91">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11.1乙方应按合同约定依法纳税。</w:t>
      </w:r>
    </w:p>
    <w:p w14:paraId="4CAC968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11.2甲方向乙方支付结算款前，乙方应按合同约定向甲方提供合法有效、正规的等额增值税专用发票，否则甲方有权拒付。</w:t>
      </w:r>
    </w:p>
    <w:p w14:paraId="1418339B">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11.3乙方负责缴纳的所有税费已包含在合同总价中。</w:t>
      </w:r>
    </w:p>
    <w:p w14:paraId="7F80845E">
      <w:pPr>
        <w:pStyle w:val="2"/>
        <w:spacing w:before="0" w:after="0" w:line="560" w:lineRule="exact"/>
        <w:rPr>
          <w:rFonts w:hint="eastAsia" w:ascii="仿宋_GB2312" w:hAnsi="仿宋_GB2312" w:eastAsia="仿宋_GB2312" w:cs="仿宋_GB2312"/>
          <w:sz w:val="28"/>
          <w:szCs w:val="28"/>
        </w:rPr>
      </w:pPr>
      <w:bookmarkStart w:id="127" w:name="_Toc21904"/>
      <w:r>
        <w:rPr>
          <w:rFonts w:hint="eastAsia" w:ascii="仿宋_GB2312" w:hAnsi="仿宋_GB2312" w:eastAsia="仿宋_GB2312" w:cs="仿宋_GB2312"/>
          <w:sz w:val="28"/>
          <w:szCs w:val="28"/>
        </w:rPr>
        <w:t>第十二条 变更</w:t>
      </w:r>
      <w:bookmarkEnd w:id="127"/>
    </w:p>
    <w:p w14:paraId="0062F9CC">
      <w:pPr>
        <w:spacing w:line="560" w:lineRule="exact"/>
        <w:ind w:firstLine="560" w:firstLineChars="200"/>
        <w:rPr>
          <w:rFonts w:hint="eastAsia" w:ascii="仿宋_GB2312" w:hAnsi="仿宋_GB2312" w:eastAsia="仿宋_GB2312" w:cs="仿宋_GB2312"/>
          <w:spacing w:val="-11"/>
          <w:sz w:val="28"/>
          <w:szCs w:val="28"/>
        </w:rPr>
      </w:pPr>
      <w:r>
        <w:rPr>
          <w:rFonts w:hint="eastAsia" w:ascii="仿宋_GB2312" w:hAnsi="仿宋_GB2312" w:eastAsia="仿宋_GB2312" w:cs="仿宋_GB2312"/>
          <w:sz w:val="28"/>
          <w:szCs w:val="28"/>
        </w:rPr>
        <w:t>12.1甲方有权根据发包人和监理要求对本工程进行设计变更，乙方必须认真执行。因变更增加工程量的，合同价款相应调整，工期相应顺延；</w:t>
      </w:r>
      <w:r>
        <w:rPr>
          <w:rFonts w:hint="eastAsia" w:ascii="仿宋_GB2312" w:hAnsi="仿宋_GB2312" w:eastAsia="仿宋_GB2312" w:cs="仿宋_GB2312"/>
          <w:spacing w:val="-11"/>
          <w:sz w:val="28"/>
          <w:szCs w:val="28"/>
        </w:rPr>
        <w:t>因变更减少工程量的，合同价款应相应减少，工期相应调整。</w:t>
      </w:r>
    </w:p>
    <w:p w14:paraId="7015AD1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12.2 施工中乙方不得擅自对工程设计进行变更，因乙方擅自变更设计或施工不当而引起的变更设计所发生的费用和由此给甲方造成的损失，由乙方承担，延误的工期不予顺延。</w:t>
      </w:r>
    </w:p>
    <w:p w14:paraId="0A9E757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12.3 变更价款的确定：经监理、设计院及发包人单位批准的工程数量变更增加或减少，按照乙方实际完成并经甲方审定的变更数量，按照合同附件中的细目单价对乙方进行计价；无单价的项目，由甲乙双方协商确定。</w:t>
      </w:r>
    </w:p>
    <w:p w14:paraId="7C0C64B6">
      <w:pPr>
        <w:spacing w:line="560" w:lineRule="exact"/>
        <w:ind w:firstLine="560" w:firstLineChars="200"/>
        <w:rPr>
          <w:rFonts w:hint="eastAsia" w:ascii="仿宋_GB2312" w:hAnsi="仿宋_GB2312" w:eastAsia="仿宋_GB2312" w:cs="仿宋_GB2312"/>
          <w:b/>
          <w:strike/>
          <w:color w:val="1F497D"/>
          <w:sz w:val="28"/>
          <w:szCs w:val="28"/>
        </w:rPr>
      </w:pPr>
      <w:r>
        <w:rPr>
          <w:rFonts w:hint="eastAsia" w:ascii="仿宋_GB2312" w:hAnsi="仿宋_GB2312" w:eastAsia="仿宋_GB2312" w:cs="仿宋_GB2312"/>
          <w:sz w:val="28"/>
          <w:szCs w:val="28"/>
        </w:rPr>
        <w:t>12.4 乙方应在工程变更确定后11日内向甲方提出变更分包工程价款的报告，经甲方确认后调整合同价款。乙方在双方确定变更后11日内不向甲方提出变更分包工程价款的报告，视为该项变更不涉及合同价款的变更。</w:t>
      </w:r>
    </w:p>
    <w:p w14:paraId="0280933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12.5 乙方不执行从发包人处直接收到的未经甲方确认的有关分包工程变更的指令。如乙方直接收到此类变更指令，应立即通知甲方并向甲方提供该直接指令的复印件。甲方应在24小时内提出关于对该指令的处理意见。</w:t>
      </w:r>
    </w:p>
    <w:p w14:paraId="199BF9C0">
      <w:pPr>
        <w:pStyle w:val="2"/>
        <w:spacing w:before="0" w:after="0" w:line="560" w:lineRule="exact"/>
        <w:rPr>
          <w:rFonts w:hint="eastAsia" w:ascii="仿宋_GB2312" w:hAnsi="仿宋_GB2312" w:eastAsia="仿宋_GB2312" w:cs="仿宋_GB2312"/>
          <w:sz w:val="28"/>
          <w:szCs w:val="28"/>
        </w:rPr>
      </w:pPr>
      <w:bookmarkStart w:id="128" w:name="_Toc9122"/>
      <w:r>
        <w:rPr>
          <w:rFonts w:hint="eastAsia" w:ascii="仿宋_GB2312" w:hAnsi="仿宋_GB2312" w:eastAsia="仿宋_GB2312" w:cs="仿宋_GB2312"/>
          <w:sz w:val="28"/>
          <w:szCs w:val="28"/>
        </w:rPr>
        <w:t>第十三条 竣工验收</w:t>
      </w:r>
      <w:bookmarkEnd w:id="128"/>
    </w:p>
    <w:p w14:paraId="0FC8F5A6">
      <w:pPr>
        <w:spacing w:line="560" w:lineRule="exact"/>
        <w:ind w:firstLine="635" w:firstLineChars="227"/>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 xml:space="preserve">13.1  </w:t>
      </w:r>
      <w:r>
        <w:rPr>
          <w:rFonts w:hint="eastAsia" w:ascii="仿宋_GB2312" w:hAnsi="仿宋_GB2312" w:eastAsia="仿宋_GB2312" w:cs="仿宋_GB2312"/>
          <w:sz w:val="28"/>
          <w:szCs w:val="28"/>
          <w:highlight w:val="yellow"/>
        </w:rPr>
        <w:t xml:space="preserve"> （根据招标文件要求或业主单位要求）</w:t>
      </w:r>
    </w:p>
    <w:p w14:paraId="2B84A2F2">
      <w:pPr>
        <w:spacing w:line="560" w:lineRule="exact"/>
        <w:ind w:firstLine="635" w:firstLineChars="22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分包工程具备竣工验收条件的，乙方应向甲方提供完整的竣工资料及竣工验收报告。</w:t>
      </w:r>
    </w:p>
    <w:p w14:paraId="1A6BD5E3">
      <w:pPr>
        <w:spacing w:line="560" w:lineRule="exact"/>
        <w:ind w:firstLine="495" w:firstLineChars="177"/>
        <w:rPr>
          <w:rFonts w:hint="eastAsia" w:ascii="仿宋_GB2312" w:hAnsi="仿宋_GB2312" w:eastAsia="仿宋_GB2312" w:cs="仿宋_GB2312"/>
          <w:b/>
          <w:kern w:val="44"/>
          <w:sz w:val="28"/>
          <w:szCs w:val="28"/>
        </w:rPr>
      </w:pPr>
      <w:r>
        <w:rPr>
          <w:rFonts w:hint="eastAsia" w:ascii="仿宋_GB2312" w:hAnsi="仿宋_GB2312" w:eastAsia="仿宋_GB2312" w:cs="仿宋_GB2312"/>
          <w:sz w:val="28"/>
          <w:szCs w:val="28"/>
        </w:rPr>
        <w:t xml:space="preserve"> 13.2甲方应在收到乙方提供的竣工验收报告通知发包人进行验收，乙方应配合甲方进行验收。根据总包合同无需由发包人验收的部分，甲方应按照总包合同约定的验收程序自行验收。</w:t>
      </w:r>
    </w:p>
    <w:p w14:paraId="35F9333E">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13.3由于乙方原因导致分包工程竣工验收未能通过的，乙方应负责修复相应缺陷并承担相应的费用和责任。</w:t>
      </w:r>
    </w:p>
    <w:p w14:paraId="342F99D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13.4本工程经过国家或地方审计部门审计及财政部门的竣工决算评审后，如分包工程的工程量减少，则双方竣工结算按审计或评审后的工程量计算。</w:t>
      </w:r>
    </w:p>
    <w:p w14:paraId="212D3EB9">
      <w:pPr>
        <w:pStyle w:val="2"/>
        <w:spacing w:before="0" w:after="0" w:line="560" w:lineRule="exact"/>
        <w:rPr>
          <w:rFonts w:hint="eastAsia" w:ascii="仿宋_GB2312" w:hAnsi="仿宋_GB2312" w:eastAsia="仿宋_GB2312" w:cs="仿宋_GB2312"/>
          <w:sz w:val="28"/>
          <w:szCs w:val="28"/>
        </w:rPr>
      </w:pPr>
      <w:bookmarkStart w:id="129" w:name="_Toc15136"/>
      <w:r>
        <w:rPr>
          <w:rFonts w:hint="eastAsia" w:ascii="仿宋_GB2312" w:hAnsi="仿宋_GB2312" w:eastAsia="仿宋_GB2312" w:cs="仿宋_GB2312"/>
          <w:sz w:val="28"/>
          <w:szCs w:val="28"/>
        </w:rPr>
        <w:t>第十四条 竣工结算及移交</w:t>
      </w:r>
      <w:bookmarkEnd w:id="129"/>
    </w:p>
    <w:p w14:paraId="5FCBF77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14.1分包工程竣工验收报告经甲方认可后14天内，乙方向甲方递交分包工程竣工结算报告及完整的结算资料，双方按照本合同约定的合同价款及结算方式，进行工程竣工结算。</w:t>
      </w:r>
    </w:p>
    <w:p w14:paraId="2EE1ECF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14.2甲方收到乙方递交的分包工程竣工结算报告及结算资料后应及时进行核实，给予确认或者提出明确的修改意见。甲方确认竣工结算报告后向乙方按照合同约定支付分包工程竣工结算价款。</w:t>
      </w:r>
    </w:p>
    <w:p w14:paraId="2C4CC448">
      <w:pPr>
        <w:pStyle w:val="2"/>
        <w:spacing w:before="0" w:after="0" w:line="560" w:lineRule="exact"/>
        <w:rPr>
          <w:rFonts w:hint="eastAsia" w:ascii="仿宋_GB2312" w:hAnsi="仿宋_GB2312" w:eastAsia="仿宋_GB2312" w:cs="仿宋_GB2312"/>
          <w:sz w:val="28"/>
          <w:szCs w:val="28"/>
        </w:rPr>
      </w:pPr>
      <w:bookmarkStart w:id="130" w:name="_Toc18937"/>
      <w:r>
        <w:rPr>
          <w:rFonts w:hint="eastAsia" w:ascii="仿宋_GB2312" w:hAnsi="仿宋_GB2312" w:eastAsia="仿宋_GB2312" w:cs="仿宋_GB2312"/>
          <w:sz w:val="28"/>
          <w:szCs w:val="28"/>
        </w:rPr>
        <w:t>第十五条 质量保修</w:t>
      </w:r>
      <w:bookmarkEnd w:id="130"/>
    </w:p>
    <w:p w14:paraId="1812BDF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15.1在包括分包工程的总包工程竣工交付使用后，乙方应按国家有关规定对分包工程出现的缺陷进行保修，乙方承诺：甲方对发包人所承诺的质量保修义务在分包工程范围内同样适用于乙方。</w:t>
      </w:r>
    </w:p>
    <w:p w14:paraId="220FB03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15.2 若乙方在保修期内缺陷修复不及时，甲方有权指定第三方修理，费用由乙方承担，并从质保金中扣除。质保金不足的，</w:t>
      </w:r>
      <w:r>
        <w:rPr>
          <w:rFonts w:hint="eastAsia" w:ascii="仿宋_GB2312" w:hAnsi="仿宋_GB2312" w:eastAsia="仿宋_GB2312" w:cs="仿宋_GB2312"/>
          <w:color w:val="000000"/>
          <w:sz w:val="28"/>
          <w:szCs w:val="28"/>
        </w:rPr>
        <w:t>甲方有权直接从工程款中扣除，仍不足时，甲</w:t>
      </w:r>
      <w:r>
        <w:rPr>
          <w:rFonts w:hint="eastAsia" w:ascii="仿宋_GB2312" w:hAnsi="仿宋_GB2312" w:eastAsia="仿宋_GB2312" w:cs="仿宋_GB2312"/>
          <w:sz w:val="28"/>
          <w:szCs w:val="28"/>
        </w:rPr>
        <w:t>方有权向乙方索赔。</w:t>
      </w:r>
    </w:p>
    <w:p w14:paraId="4EE6DF07">
      <w:pPr>
        <w:pStyle w:val="2"/>
        <w:spacing w:before="0" w:after="0" w:line="560" w:lineRule="exact"/>
        <w:rPr>
          <w:rFonts w:hint="eastAsia" w:ascii="仿宋_GB2312" w:hAnsi="仿宋_GB2312" w:eastAsia="仿宋_GB2312" w:cs="仿宋_GB2312"/>
          <w:sz w:val="28"/>
          <w:szCs w:val="28"/>
        </w:rPr>
      </w:pPr>
      <w:bookmarkStart w:id="131" w:name="_Toc20001"/>
      <w:r>
        <w:rPr>
          <w:rFonts w:hint="eastAsia" w:ascii="仿宋_GB2312" w:hAnsi="仿宋_GB2312" w:eastAsia="仿宋_GB2312" w:cs="仿宋_GB2312"/>
          <w:sz w:val="28"/>
          <w:szCs w:val="28"/>
        </w:rPr>
        <w:t>第十六条 违约责任</w:t>
      </w:r>
      <w:bookmarkEnd w:id="131"/>
    </w:p>
    <w:p w14:paraId="0A06F539">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16.1如甲方付款迟延，乙方同意给予甲方6 个月的宽限期，在此宽限期内，甲方不承担违约责任及利息。甲方未按照本合同约定向乙方支付合同价款的（因项目发包人未能向甲方及时付款或乙方未履行向甲方开具增值税专用发票等合同约定的义务除外），甲方向乙方支付违约金。违约金按中国人民银行同期活期存款利率计算，计算的基数以甲方最后一笔付款时剩余欠款金额为准，不包括前期逾期但现已支付部分的货款，违约金最高不得超过本合同项下双方结算价款的1%。除此之外，甲方不再承担其他任何违约责任。</w:t>
      </w:r>
    </w:p>
    <w:p w14:paraId="47FA51D7">
      <w:pPr>
        <w:widowControl/>
        <w:spacing w:line="5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16.2当发生下列情况之一时，乙方应承担违约责任：</w:t>
      </w:r>
    </w:p>
    <w:p w14:paraId="69227F8B">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16.2.1若乙方未能按本合同工期和甲方及发包人的要求完成本工程，每延期一日，应向甲方支付</w:t>
      </w:r>
      <w:r>
        <w:rPr>
          <w:rFonts w:hint="eastAsia" w:ascii="仿宋_GB2312" w:hAnsi="仿宋_GB2312" w:eastAsia="仿宋_GB2312" w:cs="仿宋_GB2312"/>
          <w:sz w:val="28"/>
          <w:szCs w:val="28"/>
          <w:u w:val="single"/>
        </w:rPr>
        <w:t>10000元</w:t>
      </w:r>
      <w:r>
        <w:rPr>
          <w:rFonts w:hint="eastAsia" w:ascii="仿宋_GB2312" w:hAnsi="仿宋_GB2312" w:eastAsia="仿宋_GB2312" w:cs="仿宋_GB2312"/>
          <w:sz w:val="28"/>
          <w:szCs w:val="28"/>
        </w:rPr>
        <w:t>违约金；无正当理由工期滞后30天，甲方有权处以合同价1%的违约金并单方面解除合同。</w:t>
      </w:r>
    </w:p>
    <w:p w14:paraId="6B83DA8D">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16.2.2乙方作业质量不符合本合同约定的质量标准，该部分不予计量，乙方应向甲方支付</w:t>
      </w:r>
      <w:r>
        <w:rPr>
          <w:rFonts w:hint="eastAsia" w:ascii="仿宋_GB2312" w:hAnsi="仿宋_GB2312" w:eastAsia="仿宋_GB2312" w:cs="仿宋_GB2312"/>
          <w:sz w:val="28"/>
          <w:szCs w:val="28"/>
          <w:u w:val="single"/>
        </w:rPr>
        <w:t>20000元</w:t>
      </w:r>
      <w:r>
        <w:rPr>
          <w:rFonts w:hint="eastAsia" w:ascii="仿宋_GB2312" w:hAnsi="仿宋_GB2312" w:eastAsia="仿宋_GB2312" w:cs="仿宋_GB2312"/>
          <w:sz w:val="28"/>
          <w:szCs w:val="28"/>
        </w:rPr>
        <w:t>违约金，甲方有权单方面解除合同。由此造成的返工、修复、罚款等一切损失均由乙方自行承担。</w:t>
      </w:r>
    </w:p>
    <w:p w14:paraId="3C643202">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16.2.3乙方不履行或不按约定履行合同的其他义务时，应向甲方支付</w:t>
      </w:r>
      <w:r>
        <w:rPr>
          <w:rFonts w:hint="eastAsia" w:ascii="仿宋_GB2312" w:hAnsi="仿宋_GB2312" w:eastAsia="仿宋_GB2312" w:cs="仿宋_GB2312"/>
          <w:sz w:val="28"/>
          <w:szCs w:val="28"/>
          <w:u w:val="single"/>
        </w:rPr>
        <w:t xml:space="preserve"> 50000  </w:t>
      </w:r>
      <w:r>
        <w:rPr>
          <w:rFonts w:hint="eastAsia" w:ascii="仿宋_GB2312" w:hAnsi="仿宋_GB2312" w:eastAsia="仿宋_GB2312" w:cs="仿宋_GB2312"/>
          <w:sz w:val="28"/>
          <w:szCs w:val="28"/>
        </w:rPr>
        <w:t>元违约金，乙方还应赔偿因其违约给甲方造成的经济损失，延误的工期不予顺延。</w:t>
      </w:r>
    </w:p>
    <w:p w14:paraId="6ADF4805">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16.2.4因乙方原因造成的质量事故或经有关单位和部门认定的质量事件，材料、重作、返修、返工等一切损失均由乙方承担，并应向甲方赔偿损失，赔偿数额据实计算。甲方有权单方面解除合同。</w:t>
      </w:r>
    </w:p>
    <w:p w14:paraId="12DAEB18">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16.2.5乙方擅自停工的，承担违约金</w:t>
      </w:r>
      <w:r>
        <w:rPr>
          <w:rFonts w:hint="eastAsia" w:ascii="仿宋_GB2312" w:hAnsi="仿宋_GB2312" w:eastAsia="仿宋_GB2312" w:cs="仿宋_GB2312"/>
          <w:sz w:val="28"/>
          <w:szCs w:val="28"/>
          <w:u w:val="single"/>
        </w:rPr>
        <w:t>5000</w:t>
      </w:r>
      <w:r>
        <w:rPr>
          <w:rFonts w:hint="eastAsia" w:ascii="仿宋_GB2312" w:hAnsi="仿宋_GB2312" w:eastAsia="仿宋_GB2312" w:cs="仿宋_GB2312"/>
          <w:sz w:val="28"/>
          <w:szCs w:val="28"/>
        </w:rPr>
        <w:t>元/天，停工</w:t>
      </w:r>
      <w:r>
        <w:rPr>
          <w:rFonts w:hint="eastAsia" w:ascii="仿宋_GB2312" w:hAnsi="仿宋_GB2312" w:eastAsia="仿宋_GB2312" w:cs="仿宋_GB2312"/>
          <w:sz w:val="28"/>
          <w:szCs w:val="28"/>
          <w:u w:val="single"/>
        </w:rPr>
        <w:t>3</w:t>
      </w:r>
      <w:r>
        <w:rPr>
          <w:rFonts w:hint="eastAsia" w:ascii="仿宋_GB2312" w:hAnsi="仿宋_GB2312" w:eastAsia="仿宋_GB2312" w:cs="仿宋_GB2312"/>
          <w:sz w:val="28"/>
          <w:szCs w:val="28"/>
        </w:rPr>
        <w:t>日（含</w:t>
      </w:r>
      <w:r>
        <w:rPr>
          <w:rFonts w:hint="eastAsia" w:ascii="仿宋_GB2312" w:hAnsi="仿宋_GB2312" w:eastAsia="仿宋_GB2312" w:cs="仿宋_GB2312"/>
          <w:sz w:val="28"/>
          <w:szCs w:val="28"/>
          <w:u w:val="single"/>
        </w:rPr>
        <w:t>3</w:t>
      </w:r>
      <w:r>
        <w:rPr>
          <w:rFonts w:hint="eastAsia" w:ascii="仿宋_GB2312" w:hAnsi="仿宋_GB2312" w:eastAsia="仿宋_GB2312" w:cs="仿宋_GB2312"/>
          <w:sz w:val="28"/>
          <w:szCs w:val="28"/>
        </w:rPr>
        <w:t>日）以上的，甲方有权单方面解除合同并没收乙方全部履约保证金，乙方必须无条件退场，赔偿因停工给甲方造成的一切损失。</w:t>
      </w:r>
    </w:p>
    <w:p w14:paraId="7379B42F">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16.2.6 乙方在分包作业和验收过程中，被发现偷工减料、以次充好或劳务作业质量存在问题的，每发现一次乙方须向甲方支付</w:t>
      </w:r>
      <w:r>
        <w:rPr>
          <w:rFonts w:hint="eastAsia" w:ascii="仿宋_GB2312" w:hAnsi="仿宋_GB2312" w:eastAsia="仿宋_GB2312" w:cs="仿宋_GB2312"/>
          <w:sz w:val="28"/>
          <w:szCs w:val="28"/>
          <w:u w:val="single"/>
        </w:rPr>
        <w:t>20000元</w:t>
      </w:r>
      <w:r>
        <w:rPr>
          <w:rFonts w:hint="eastAsia" w:ascii="仿宋_GB2312" w:hAnsi="仿宋_GB2312" w:eastAsia="仿宋_GB2312" w:cs="仿宋_GB2312"/>
          <w:sz w:val="28"/>
          <w:szCs w:val="28"/>
        </w:rPr>
        <w:t>违约金，并承担因此造成的损失。甲方有权单方面解除合同。</w:t>
      </w:r>
    </w:p>
    <w:p w14:paraId="1F025F52">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16.2.7 乙方未履行按月足额发放员工（包括农民工）工资引起不良影响的，乙方应承担</w:t>
      </w:r>
      <w:r>
        <w:rPr>
          <w:rFonts w:hint="eastAsia" w:ascii="仿宋_GB2312" w:hAnsi="仿宋_GB2312" w:eastAsia="仿宋_GB2312" w:cs="仿宋_GB2312"/>
          <w:sz w:val="28"/>
          <w:szCs w:val="28"/>
          <w:u w:val="single"/>
        </w:rPr>
        <w:t>50000</w:t>
      </w:r>
      <w:r>
        <w:rPr>
          <w:rFonts w:hint="eastAsia" w:ascii="仿宋_GB2312" w:hAnsi="仿宋_GB2312" w:eastAsia="仿宋_GB2312" w:cs="仿宋_GB2312"/>
          <w:sz w:val="28"/>
          <w:szCs w:val="28"/>
        </w:rPr>
        <w:t>元/人次违约金，甲方有权没收乙方农民工工资保证金及采取其它措施。发生农民工上访或群体事件，每次支付</w:t>
      </w:r>
      <w:r>
        <w:rPr>
          <w:rFonts w:hint="eastAsia" w:ascii="仿宋_GB2312" w:hAnsi="仿宋_GB2312" w:eastAsia="仿宋_GB2312" w:cs="仿宋_GB2312"/>
          <w:sz w:val="28"/>
          <w:szCs w:val="28"/>
          <w:u w:val="single"/>
        </w:rPr>
        <w:t>50000元</w:t>
      </w:r>
      <w:r>
        <w:rPr>
          <w:rFonts w:hint="eastAsia" w:ascii="仿宋_GB2312" w:hAnsi="仿宋_GB2312" w:eastAsia="仿宋_GB2312" w:cs="仿宋_GB2312"/>
          <w:sz w:val="28"/>
          <w:szCs w:val="28"/>
        </w:rPr>
        <w:t>违约金，造成不良后果的支付</w:t>
      </w:r>
      <w:r>
        <w:rPr>
          <w:rFonts w:hint="eastAsia" w:ascii="仿宋_GB2312" w:hAnsi="仿宋_GB2312" w:eastAsia="仿宋_GB2312" w:cs="仿宋_GB2312"/>
          <w:sz w:val="28"/>
          <w:szCs w:val="28"/>
          <w:u w:val="single"/>
        </w:rPr>
        <w:t>100000元</w:t>
      </w:r>
      <w:r>
        <w:rPr>
          <w:rFonts w:hint="eastAsia" w:ascii="仿宋_GB2312" w:hAnsi="仿宋_GB2312" w:eastAsia="仿宋_GB2312" w:cs="仿宋_GB2312"/>
          <w:sz w:val="28"/>
          <w:szCs w:val="28"/>
        </w:rPr>
        <w:t>违约金。若发生劳动争议或劳务纠纷时，乙方应积极处理，避免给甲方造成不良影响及损害，并赔偿甲方因处理纠纷所发生的费用，此部分费用甲方有权在应付工程款中扣除，不足部分有权对乙方追偿。</w:t>
      </w:r>
    </w:p>
    <w:p w14:paraId="390F8429">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16.2.8  安全文明施工：安全检查中发现隐患未整改或未按时整改的，每个隐患处</w:t>
      </w:r>
      <w:r>
        <w:rPr>
          <w:rFonts w:hint="eastAsia" w:ascii="仿宋_GB2312" w:hAnsi="仿宋_GB2312" w:eastAsia="仿宋_GB2312" w:cs="仿宋_GB2312"/>
          <w:sz w:val="28"/>
          <w:szCs w:val="28"/>
          <w:u w:val="single"/>
        </w:rPr>
        <w:t>1000-2000元</w:t>
      </w:r>
      <w:r>
        <w:rPr>
          <w:rFonts w:hint="eastAsia" w:ascii="仿宋_GB2312" w:hAnsi="仿宋_GB2312" w:eastAsia="仿宋_GB2312" w:cs="仿宋_GB2312"/>
          <w:sz w:val="28"/>
          <w:szCs w:val="28"/>
        </w:rPr>
        <w:t>罚款；安全文明施工不符合规定的，每项支付</w:t>
      </w:r>
      <w:r>
        <w:rPr>
          <w:rFonts w:hint="eastAsia" w:ascii="仿宋_GB2312" w:hAnsi="仿宋_GB2312" w:eastAsia="仿宋_GB2312" w:cs="仿宋_GB2312"/>
          <w:sz w:val="28"/>
          <w:szCs w:val="28"/>
          <w:u w:val="single"/>
        </w:rPr>
        <w:t>1000元</w:t>
      </w:r>
      <w:r>
        <w:rPr>
          <w:rFonts w:hint="eastAsia" w:ascii="仿宋_GB2312" w:hAnsi="仿宋_GB2312" w:eastAsia="仿宋_GB2312" w:cs="仿宋_GB2312"/>
          <w:sz w:val="28"/>
          <w:szCs w:val="28"/>
        </w:rPr>
        <w:t xml:space="preserve">违约金。 </w:t>
      </w:r>
    </w:p>
    <w:p w14:paraId="234DFBA7">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16.2.9 乙方或乙方相关人员不得以任何理由和方式，阻碍、干扰甲方项目部、公司本部、上级单位、发包人、监理及政府部门的正常工作，如有违反本条款，乙方承担由此造成的各种损失，并承担违金</w:t>
      </w:r>
      <w:r>
        <w:rPr>
          <w:rFonts w:hint="eastAsia" w:ascii="仿宋_GB2312" w:hAnsi="仿宋_GB2312" w:eastAsia="仿宋_GB2312" w:cs="仿宋_GB2312"/>
          <w:sz w:val="28"/>
          <w:szCs w:val="28"/>
          <w:u w:val="single"/>
        </w:rPr>
        <w:t>100000</w:t>
      </w:r>
      <w:r>
        <w:rPr>
          <w:rFonts w:hint="eastAsia" w:ascii="仿宋_GB2312" w:hAnsi="仿宋_GB2312" w:eastAsia="仿宋_GB2312" w:cs="仿宋_GB2312"/>
          <w:sz w:val="28"/>
          <w:szCs w:val="28"/>
        </w:rPr>
        <w:t>元/次，甲方还有权单方面解除合同。</w:t>
      </w:r>
    </w:p>
    <w:p w14:paraId="01BBF895">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16.2.10 未经甲方同意，乙方擅自退场的，应向甲方赔偿由此造成的一切损失，甲方有权没收部分或全部履约保证金。</w:t>
      </w:r>
    </w:p>
    <w:p w14:paraId="233C2779">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16.2.11乙方将本合同项下的作业内容转包或再分包给他人的，应向甲方支付</w:t>
      </w:r>
      <w:r>
        <w:rPr>
          <w:rFonts w:hint="eastAsia" w:ascii="仿宋_GB2312" w:hAnsi="仿宋_GB2312" w:eastAsia="仿宋_GB2312" w:cs="仿宋_GB2312"/>
          <w:sz w:val="28"/>
          <w:szCs w:val="28"/>
          <w:u w:val="single"/>
        </w:rPr>
        <w:t>100000</w:t>
      </w:r>
      <w:r>
        <w:rPr>
          <w:rFonts w:hint="eastAsia" w:ascii="仿宋_GB2312" w:hAnsi="仿宋_GB2312" w:eastAsia="仿宋_GB2312" w:cs="仿宋_GB2312"/>
          <w:sz w:val="28"/>
          <w:szCs w:val="28"/>
        </w:rPr>
        <w:t>元违约金，并应赔偿甲方因此所造成的损失，且甲方有权解除合同，没收全部履约保证金。</w:t>
      </w:r>
    </w:p>
    <w:p w14:paraId="55C32167">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16.2.12 因乙方原因导致媒体负面报道或管理部门曝光的，乙方应向甲方支付 </w:t>
      </w:r>
      <w:r>
        <w:rPr>
          <w:rFonts w:hint="eastAsia" w:ascii="仿宋_GB2312" w:hAnsi="仿宋_GB2312" w:eastAsia="仿宋_GB2312" w:cs="仿宋_GB2312"/>
          <w:sz w:val="28"/>
          <w:szCs w:val="28"/>
          <w:u w:val="single"/>
        </w:rPr>
        <w:t>100000元 / 次</w:t>
      </w:r>
      <w:r>
        <w:rPr>
          <w:rFonts w:hint="eastAsia" w:ascii="仿宋_GB2312" w:hAnsi="仿宋_GB2312" w:eastAsia="仿宋_GB2312" w:cs="仿宋_GB2312"/>
          <w:sz w:val="28"/>
          <w:szCs w:val="28"/>
        </w:rPr>
        <w:t>违约金。</w:t>
      </w:r>
    </w:p>
    <w:p w14:paraId="39E55219">
      <w:pPr>
        <w:widowControl/>
        <w:spacing w:line="560" w:lineRule="exact"/>
        <w:ind w:left="239" w:leftChars="114" w:firstLine="280" w:firstLineChars="1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16.2.13本合同中所涉及的债权，乙方不得转让，也不得用于任何形式的担保。若乙方擅自转让或用于担保的，则该行为无效，乙方应赔偿甲方因此受到的全部损失。</w:t>
      </w:r>
    </w:p>
    <w:p w14:paraId="2D8B4F37">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16.2.14乙方应提供真实、有效、合格的增值税专用发票，如乙方提供虚假或虚开的增值税专用发票，甲方有权拒收或退回，乙方应负责无偿更换，并自行承担相应法律责任。由此造成甲方无法及时认证、抵扣税款等情形的，乙方需向甲方承担赔偿责任包括但不限于税款、滞纳金、罚款及相关损失等。</w:t>
      </w:r>
    </w:p>
    <w:p w14:paraId="546ACB6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16.2.15乙方应按合同约定及时向甲方提供增值税专用发票，逾期提供的，每逾期一天，乙方应向甲方支付违约金</w:t>
      </w:r>
      <w:r>
        <w:rPr>
          <w:rFonts w:hint="eastAsia" w:ascii="仿宋_GB2312" w:hAnsi="仿宋_GB2312" w:eastAsia="仿宋_GB2312" w:cs="仿宋_GB2312"/>
          <w:sz w:val="28"/>
          <w:szCs w:val="28"/>
          <w:u w:val="single"/>
        </w:rPr>
        <w:t>500元</w:t>
      </w:r>
      <w:r>
        <w:rPr>
          <w:rFonts w:hint="eastAsia" w:ascii="仿宋_GB2312" w:hAnsi="仿宋_GB2312" w:eastAsia="仿宋_GB2312" w:cs="仿宋_GB2312"/>
          <w:sz w:val="28"/>
          <w:szCs w:val="28"/>
        </w:rPr>
        <w:t>。因乙方开具的增值税专用发票不及时，造成甲方无法及时认证、抵扣税款等情形的，乙方需向甲方承担赔偿责任包括但不限于税款、滞纳金、罚款及相关损失等。</w:t>
      </w:r>
    </w:p>
    <w:p w14:paraId="200AAAEE">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16.2.16乙方未能提供增值税专用发票的，甲方有权暂停支付相应款项，且乙方需向甲方承担赔偿责任包括但不限于税款、滞纳金、罚款及相关损失等。</w:t>
      </w:r>
    </w:p>
    <w:p w14:paraId="544C24E2">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16.2.17乙方有义务配合甲方接受税务机关、审计部门、安全质量等的检查工作，如果乙方拒不配合，由乙方支付</w:t>
      </w:r>
      <w:r>
        <w:rPr>
          <w:rFonts w:hint="eastAsia" w:ascii="仿宋_GB2312" w:hAnsi="仿宋_GB2312" w:eastAsia="仿宋_GB2312" w:cs="仿宋_GB2312"/>
          <w:sz w:val="28"/>
          <w:szCs w:val="28"/>
          <w:u w:val="single"/>
        </w:rPr>
        <w:t>50000元</w:t>
      </w:r>
      <w:r>
        <w:rPr>
          <w:rFonts w:hint="eastAsia" w:ascii="仿宋_GB2312" w:hAnsi="仿宋_GB2312" w:eastAsia="仿宋_GB2312" w:cs="仿宋_GB2312"/>
          <w:sz w:val="28"/>
          <w:szCs w:val="28"/>
        </w:rPr>
        <w:t>的违约金，并承担对甲方造成的损失。</w:t>
      </w:r>
    </w:p>
    <w:p w14:paraId="082FC354">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16.2.18乙方在施工过程中不得侵犯任何第三方的知识产权，因侵犯他人的知识产权所引起的责任，由乙方承担，并赔偿甲方因此受到的一切损失。</w:t>
      </w:r>
    </w:p>
    <w:p w14:paraId="2B651D19">
      <w:pPr>
        <w:pStyle w:val="2"/>
        <w:spacing w:before="0" w:after="0" w:line="560" w:lineRule="exact"/>
        <w:rPr>
          <w:rFonts w:hint="eastAsia" w:ascii="仿宋_GB2312" w:hAnsi="仿宋_GB2312" w:eastAsia="仿宋_GB2312" w:cs="仿宋_GB2312"/>
          <w:sz w:val="28"/>
          <w:szCs w:val="28"/>
        </w:rPr>
      </w:pPr>
      <w:bookmarkStart w:id="132" w:name="_Toc23935"/>
      <w:r>
        <w:rPr>
          <w:rFonts w:hint="eastAsia" w:ascii="仿宋_GB2312" w:hAnsi="仿宋_GB2312" w:eastAsia="仿宋_GB2312" w:cs="仿宋_GB2312"/>
          <w:sz w:val="28"/>
          <w:szCs w:val="28"/>
        </w:rPr>
        <w:t>第十七条 合同解除</w:t>
      </w:r>
      <w:bookmarkEnd w:id="132"/>
    </w:p>
    <w:p w14:paraId="611A08A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17.1当下列情形发生时，本合同可解除：</w:t>
      </w:r>
    </w:p>
    <w:p w14:paraId="3ECB77FD">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17.1.1出现合同第十六条约定的合同解除情形；</w:t>
      </w:r>
    </w:p>
    <w:p w14:paraId="1EC7060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17.1.2甲乙双方协商一致。</w:t>
      </w:r>
    </w:p>
    <w:p w14:paraId="543EB0E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17.2当合同解除后，甲乙双方按如下约定进行合同解除后的计量、付款和结清：</w:t>
      </w:r>
    </w:p>
    <w:p w14:paraId="04147106">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17.2.1合同解除后，甲方将按乙方完成的、甲乙方代表签认的、符合本项目验收标准的工程数量和《工程量清单》单价（扣除甲供料和质保金）进行计量。</w:t>
      </w:r>
    </w:p>
    <w:p w14:paraId="1F40990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17.2.2合同解除后，甲方将暂停对乙方的一切付款，在查清剩余应付款项并扣除有关款项（如质保金、违约金等）后再行支付。</w:t>
      </w:r>
    </w:p>
    <w:p w14:paraId="0C3B243E">
      <w:pPr>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17.2.3一方要求解除合同应以书面形式告知对方。合同解除后有过错的一方应当赔偿因合同解除给对方造成的损失。</w:t>
      </w:r>
    </w:p>
    <w:p w14:paraId="53EA26AE">
      <w:pPr>
        <w:pStyle w:val="2"/>
        <w:spacing w:before="0" w:after="0" w:line="560" w:lineRule="exact"/>
        <w:rPr>
          <w:rFonts w:hint="eastAsia" w:ascii="仿宋_GB2312" w:hAnsi="仿宋_GB2312" w:eastAsia="仿宋_GB2312" w:cs="仿宋_GB2312"/>
          <w:sz w:val="28"/>
          <w:szCs w:val="28"/>
        </w:rPr>
      </w:pPr>
      <w:bookmarkStart w:id="133" w:name="_Toc4622"/>
      <w:r>
        <w:rPr>
          <w:rFonts w:hint="eastAsia" w:ascii="仿宋_GB2312" w:hAnsi="仿宋_GB2312" w:eastAsia="仿宋_GB2312" w:cs="仿宋_GB2312"/>
          <w:sz w:val="28"/>
          <w:szCs w:val="28"/>
        </w:rPr>
        <w:t>第十八条 其它约定</w:t>
      </w:r>
      <w:bookmarkEnd w:id="133"/>
    </w:p>
    <w:p w14:paraId="58DAB7F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18.1乙方对甲方负责，承认并严格按照发包人、监理、甲方有关质量、安全、技术、环保、文明施工等标准执行，在甲方下达的施工进度计划（含节点计划）内完成施工。</w:t>
      </w:r>
    </w:p>
    <w:p w14:paraId="59D0D8B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18.2临时工程</w:t>
      </w:r>
    </w:p>
    <w:p w14:paraId="3C160D9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18.2.1施工便道由甲方统一规划、设计，由乙方修建至各工点。施工便道日常维护由乙方承担，费用已包含在各分项单价中，甲方不再另行支付。</w:t>
      </w:r>
    </w:p>
    <w:p w14:paraId="3513328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18.2.2 乙方应根据施工需要办理通过第三方道路的通行权，费用已包含在各分项承包单价中。需要甲方协调时，甲方应积极协助。</w:t>
      </w:r>
    </w:p>
    <w:p w14:paraId="3C86C12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18.2.3施工中涉及弃土、弃碴、水系、支挡、围挡等由乙方负责处理并承担费用，其已包含在合同各分项单价中。</w:t>
      </w:r>
    </w:p>
    <w:p w14:paraId="18ADF4E1">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18.2.4乙方生产生活所用工棚、场地等所有临时工程和设施由乙方修建，乙方自备设备由乙方安装、调试，上述费用均以包含在合同各分项单价中，甲方不再另行支付。</w:t>
      </w:r>
    </w:p>
    <w:p w14:paraId="6498162E">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18.2.5施工用电、用水由乙方自行负责，电力、用水等设施（包含变压器、配电盘以上及以下）由乙方保管、维护，丢失、损坏的由乙方承担损失，费用已包含在各分项单价中，甲方不再另行支付。</w:t>
      </w:r>
    </w:p>
    <w:p w14:paraId="3997D6A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18.2.6乙方必须自备足够的电源，在网电设施建立前或网电停电期间，由乙方自发电施工，费用已包含在各分项单价中，甲方不再另行支付。</w:t>
      </w:r>
    </w:p>
    <w:p w14:paraId="111191E4">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18.2.7乙方设备、人员调遣及食宿由乙方负责，费用已包含在各分项单价中，甲方不再另行支付。</w:t>
      </w:r>
    </w:p>
    <w:p w14:paraId="6A16A28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18.2.8所有临建设施按照发包人或甲方标准执行，费用已包含在各分项承包单价中，甲方不再另行支付。</w:t>
      </w:r>
    </w:p>
    <w:p w14:paraId="016618E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18.3因征地、拆迁、监理（含）指令、地方干扰、工艺中断、图纸滞后、材料供应、不可抗力等引起的停窝工损失及风险由乙方承担，相关费用已包含在本合同各分项承包单价中，乙方不得以此为由向甲方另行索赔。</w:t>
      </w:r>
    </w:p>
    <w:p w14:paraId="44D6BD39">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18.4乙方承诺在履行本合同过程中遵纪守法，保证甲方免于承担因乙方违反法律而引起的任何责任。</w:t>
      </w:r>
    </w:p>
    <w:p w14:paraId="7D2602F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18.5未经甲方书面授权，乙方不得以甲方名义或类似甲方名义从事任何活动。否则，一切责任均由乙方承担。</w:t>
      </w:r>
    </w:p>
    <w:p w14:paraId="364D433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18.6乙方在施工场地发掘的所有文物、古迹以及具有地质研究或考古价值的其他遗迹、化石、钱币或物品属于国家所有。一旦发现上述文物，乙方应采取有效合理的保护措施，防止任何人员移动或损坏上述物品，并立即报告甲方，乙方应按文物行政部门要求采取妥善保护措施，由此导致费用增加和（或）工期延误按发包人批复（工期顺延、停工费用）给乙方补偿。</w:t>
      </w:r>
    </w:p>
    <w:p w14:paraId="4D19059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乙方发现文物后不及时报告或隐瞒不报，致使文物丢失或损坏的，应赔偿损失，并承担相应的法律责任。</w:t>
      </w:r>
    </w:p>
    <w:p w14:paraId="53F7BBC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18.7乙方在撤场前，由乙方在本工程所造成的外欠款应全部付清，并向甲方提供相应凭证。如未付清，在相关方找到甲方时，乙方应按甲方要求及时处理，否则甲方有权用乙方预留款代付。</w:t>
      </w:r>
    </w:p>
    <w:p w14:paraId="61EAD5C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乙方撤离现场时，应运出自带小型机具并清除剩余材料、垃圾和各种临时设施，做到现场和工程整洁，达到甲方认可的状态。若甲方清理，则因此而发生的费用由乙方承担，甲方将从应付乙方的款项中扣除。</w:t>
      </w:r>
    </w:p>
    <w:p w14:paraId="0917CDA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18.8鉴定。甲乙双方对乙方完成工程量存在争议且无法协商一致时，双方同意将争议部分提交予以鉴定，甲乙双方以鉴定结果计算工程量并进行结算支付，鉴定费用由乙方承担。</w:t>
      </w:r>
    </w:p>
    <w:p w14:paraId="7139F08F">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18.9乙方下属农民工因工资问题发生上访或群体事件，乙方应在接到甲方通知后</w:t>
      </w:r>
      <w:r>
        <w:rPr>
          <w:rFonts w:hint="eastAsia" w:ascii="仿宋_GB2312" w:hAnsi="仿宋_GB2312" w:eastAsia="仿宋_GB2312" w:cs="仿宋_GB2312"/>
          <w:color w:val="000000"/>
          <w:sz w:val="28"/>
          <w:szCs w:val="28"/>
          <w:u w:val="single"/>
        </w:rPr>
        <w:t>2</w:t>
      </w:r>
      <w:r>
        <w:rPr>
          <w:rFonts w:hint="eastAsia" w:ascii="仿宋_GB2312" w:hAnsi="仿宋_GB2312" w:eastAsia="仿宋_GB2312" w:cs="仿宋_GB2312"/>
          <w:color w:val="000000"/>
          <w:sz w:val="28"/>
          <w:szCs w:val="28"/>
        </w:rPr>
        <w:t>小时内到达甲方指定地点或者政府有关部门进行处理；逾期不处理的，乙方同意由甲方会同当地政府或者劳动行政管理部门，依据农民工提供的证据，确定乙方的欠薪金额并予以代付，乙方同意无条件接受该代付金额，并由甲方在应付乙方的工程价款或质保金中扣除，工程价款或质保金不足的，甲方可向乙方追偿；同时，乙方应按拖欠工资总额的30%向甲方承担违约责任。</w:t>
      </w:r>
    </w:p>
    <w:p w14:paraId="56CE9D2D">
      <w:pPr>
        <w:pStyle w:val="10"/>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18.10 项目经理要求：项目经理须实际到岗，未到岗或与中标项目经理不符的，甲方有权解除合同并全额没收履约保证金；乙方更换项目经理需经甲方同意，否则承担</w:t>
      </w:r>
      <w:r>
        <w:rPr>
          <w:rFonts w:hint="eastAsia" w:ascii="仿宋_GB2312" w:hAnsi="仿宋_GB2312" w:eastAsia="仿宋_GB2312" w:cs="仿宋_GB2312"/>
          <w:color w:val="000000"/>
          <w:sz w:val="28"/>
          <w:szCs w:val="28"/>
          <w:u w:val="single"/>
        </w:rPr>
        <w:t>50000-100000元/次</w:t>
      </w:r>
      <w:r>
        <w:rPr>
          <w:rFonts w:hint="eastAsia" w:ascii="仿宋_GB2312" w:hAnsi="仿宋_GB2312" w:eastAsia="仿宋_GB2312" w:cs="仿宋_GB2312"/>
          <w:color w:val="000000"/>
          <w:sz w:val="28"/>
          <w:szCs w:val="28"/>
        </w:rPr>
        <w:t xml:space="preserve">违约金。 </w:t>
      </w:r>
    </w:p>
    <w:p w14:paraId="4F70B1AC">
      <w:pPr>
        <w:pStyle w:val="10"/>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18.11风险承担：施工期间材料、人工、机械设备价格波动风险由乙方承担，不得因此提出工期或费用索赔；因政策、规划设计调整等非乙方原因导致工程推迟开工或取消，乙方不得向甲方索赔。</w:t>
      </w:r>
    </w:p>
    <w:p w14:paraId="315CE3A9">
      <w:pPr>
        <w:pStyle w:val="10"/>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18.12协调义务：乙方负责处理施工过程中与交警、城管、园林绿化、周边居民、物业、街道办等单位的沟通协调，承担相关费用及纠纷处理费用。</w:t>
      </w:r>
    </w:p>
    <w:p w14:paraId="53968B82">
      <w:pPr>
        <w:pStyle w:val="10"/>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18.13文物保护：施工中发现文物，乙方需立即采取保护措施并报告甲方，按文物行政部门要求处理，未及时报告或隐瞒不报导致文物损坏的，乙方承担赔偿责任及法律责任。</w:t>
      </w:r>
    </w:p>
    <w:p w14:paraId="5172CE25">
      <w:pPr>
        <w:pStyle w:val="2"/>
        <w:spacing w:before="0" w:after="0" w:line="560" w:lineRule="exact"/>
        <w:rPr>
          <w:rFonts w:hint="eastAsia" w:ascii="仿宋_GB2312" w:hAnsi="仿宋_GB2312" w:eastAsia="仿宋_GB2312" w:cs="仿宋_GB2312"/>
          <w:sz w:val="28"/>
          <w:szCs w:val="28"/>
        </w:rPr>
      </w:pPr>
      <w:bookmarkStart w:id="134" w:name="_Toc27096"/>
      <w:r>
        <w:rPr>
          <w:rFonts w:hint="eastAsia" w:ascii="仿宋_GB2312" w:hAnsi="仿宋_GB2312" w:eastAsia="仿宋_GB2312" w:cs="仿宋_GB2312"/>
          <w:sz w:val="28"/>
          <w:szCs w:val="28"/>
        </w:rPr>
        <w:t>第十九条 争议的解决方式</w:t>
      </w:r>
      <w:bookmarkEnd w:id="134"/>
    </w:p>
    <w:p w14:paraId="3C5B4C11">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甲乙双方在履行合同时发生争议的，应协商解决。协商不成的，选择以下第</w:t>
      </w:r>
      <w:r>
        <w:rPr>
          <w:rFonts w:hint="eastAsia" w:ascii="仿宋_GB2312" w:hAnsi="仿宋_GB2312" w:eastAsia="仿宋_GB2312" w:cs="仿宋_GB2312"/>
          <w:color w:val="000000"/>
          <w:sz w:val="28"/>
          <w:szCs w:val="28"/>
          <w:u w:val="single"/>
        </w:rPr>
        <w:t>①</w:t>
      </w:r>
      <w:r>
        <w:rPr>
          <w:rFonts w:hint="eastAsia" w:ascii="仿宋_GB2312" w:hAnsi="仿宋_GB2312" w:eastAsia="仿宋_GB2312" w:cs="仿宋_GB2312"/>
          <w:color w:val="000000"/>
          <w:sz w:val="28"/>
          <w:szCs w:val="28"/>
        </w:rPr>
        <w:t>种方式：①提交</w:t>
      </w:r>
      <w:r>
        <w:rPr>
          <w:rFonts w:hint="eastAsia" w:ascii="仿宋_GB2312" w:hAnsi="仿宋_GB2312" w:eastAsia="仿宋_GB2312" w:cs="仿宋_GB2312"/>
          <w:color w:val="000000"/>
          <w:sz w:val="28"/>
          <w:szCs w:val="28"/>
          <w:u w:val="single"/>
        </w:rPr>
        <w:t>工程所在地</w:t>
      </w:r>
      <w:r>
        <w:rPr>
          <w:rFonts w:hint="eastAsia" w:ascii="仿宋_GB2312" w:hAnsi="仿宋_GB2312" w:eastAsia="仿宋_GB2312" w:cs="仿宋_GB2312"/>
          <w:color w:val="000000"/>
          <w:sz w:val="28"/>
          <w:szCs w:val="28"/>
        </w:rPr>
        <w:t>法院进行诉讼；②由</w:t>
      </w:r>
      <w:r>
        <w:rPr>
          <w:rFonts w:hint="eastAsia" w:ascii="仿宋_GB2312" w:hAnsi="仿宋_GB2312" w:eastAsia="仿宋_GB2312" w:cs="仿宋_GB2312"/>
          <w:color w:val="000000"/>
          <w:sz w:val="28"/>
          <w:szCs w:val="28"/>
          <w:u w:val="single"/>
        </w:rPr>
        <w:t>合肥市</w:t>
      </w:r>
      <w:r>
        <w:rPr>
          <w:rFonts w:hint="eastAsia" w:ascii="仿宋_GB2312" w:hAnsi="仿宋_GB2312" w:eastAsia="仿宋_GB2312" w:cs="仿宋_GB2312"/>
          <w:color w:val="000000"/>
          <w:sz w:val="28"/>
          <w:szCs w:val="28"/>
        </w:rPr>
        <w:t>仲裁机构进行仲裁。</w:t>
      </w:r>
    </w:p>
    <w:p w14:paraId="1581EDDD">
      <w:pPr>
        <w:pStyle w:val="2"/>
        <w:spacing w:before="0" w:after="0" w:line="560" w:lineRule="exact"/>
        <w:rPr>
          <w:rFonts w:hint="eastAsia" w:ascii="仿宋_GB2312" w:hAnsi="仿宋_GB2312" w:eastAsia="仿宋_GB2312" w:cs="仿宋_GB2312"/>
          <w:sz w:val="28"/>
          <w:szCs w:val="28"/>
        </w:rPr>
      </w:pPr>
      <w:bookmarkStart w:id="135" w:name="_Toc27079"/>
      <w:r>
        <w:rPr>
          <w:rFonts w:hint="eastAsia" w:ascii="仿宋_GB2312" w:hAnsi="仿宋_GB2312" w:eastAsia="仿宋_GB2312" w:cs="仿宋_GB2312"/>
          <w:sz w:val="28"/>
          <w:szCs w:val="28"/>
        </w:rPr>
        <w:t>第二十条 不可抗力</w:t>
      </w:r>
      <w:bookmarkEnd w:id="135"/>
    </w:p>
    <w:p w14:paraId="348EE7EA">
      <w:pPr>
        <w:pStyle w:val="1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20.1 不可抗力的确认</w:t>
      </w:r>
    </w:p>
    <w:p w14:paraId="6963D16D">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不可抗力是指合同当事人在签订合同时不能预见，在合同履行过程中不能避免且不能克服的自然灾害和社会性突发事件，如台风、泥石流、洪水、山体滑坡、地震、海啸、流行疾病、疫情、骚乱、戒严、暴动、战争、政府行为等。</w:t>
      </w:r>
    </w:p>
    <w:p w14:paraId="35661F23">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不可抗力发生后，甲乙双方应收集证明不可抗力发生及不可抗力造成损失的证据，并及时认真统计所造成的损失。双方对其损失的意见不一致的，按第19条〔争议的解决方式〕的约定处理。</w:t>
      </w:r>
    </w:p>
    <w:p w14:paraId="29C541B5">
      <w:pPr>
        <w:pStyle w:val="1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20.2 不可抗力的通知</w:t>
      </w:r>
    </w:p>
    <w:p w14:paraId="0F7674E1">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合同一方当事人遇到不可抗力事件，使其履行合同义务受到阻碍时，应立即通知合同另一方当事人，书面说明不可抗力和受阻碍的详细情况，并提供必要的证明。</w:t>
      </w:r>
    </w:p>
    <w:p w14:paraId="4E6E9116">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不可抗力持续发生的，合同一方当事人应及时向合同另一方当事人提交中间报告，说明不可抗力和履行合同受阻的情况，并于不可抗力事件结束后</w:t>
      </w:r>
      <w:r>
        <w:rPr>
          <w:rFonts w:hint="eastAsia" w:ascii="仿宋_GB2312" w:hAnsi="仿宋_GB2312" w:eastAsia="仿宋_GB2312" w:cs="仿宋_GB2312"/>
          <w:color w:val="000000"/>
          <w:sz w:val="28"/>
          <w:szCs w:val="28"/>
          <w:u w:val="single"/>
        </w:rPr>
        <w:t>7</w:t>
      </w:r>
      <w:r>
        <w:rPr>
          <w:rFonts w:hint="eastAsia" w:ascii="仿宋_GB2312" w:hAnsi="仿宋_GB2312" w:eastAsia="仿宋_GB2312" w:cs="仿宋_GB2312"/>
          <w:color w:val="000000"/>
          <w:sz w:val="28"/>
          <w:szCs w:val="28"/>
        </w:rPr>
        <w:t>日</w:t>
      </w:r>
      <w:r>
        <w:rPr>
          <w:rFonts w:hint="eastAsia" w:ascii="仿宋_GB2312" w:hAnsi="仿宋_GB2312" w:eastAsia="仿宋_GB2312" w:cs="仿宋_GB2312"/>
          <w:sz w:val="28"/>
          <w:szCs w:val="28"/>
        </w:rPr>
        <w:t>内提交最终报告及有关资料。</w:t>
      </w:r>
    </w:p>
    <w:p w14:paraId="02C0DF6C">
      <w:pPr>
        <w:pStyle w:val="1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20.3 不可抗力后果的承担</w:t>
      </w:r>
    </w:p>
    <w:p w14:paraId="3C47F153">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20.3.1 不可抗力引起的后果及造成的损失由合同当事人按照法律规定及合同约定各自承担。不可抗力发生前已完成的工程应当按照合同约定进行计量支付。</w:t>
      </w:r>
    </w:p>
    <w:p w14:paraId="2F01D4BF">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20.3.2 不可抗力导致的人员伤亡、财产损失、费用增加和（或）工期延误等后果，由合同当事人按以下原则承担：</w:t>
      </w:r>
    </w:p>
    <w:p w14:paraId="744B7AD3">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（1）永久工程、已运至施工现场的甲方提供的材料和工程设备的损坏，由甲方承担；</w:t>
      </w:r>
    </w:p>
    <w:p w14:paraId="0EB3EFE2">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（2）乙方自备的机械、材料的损坏由乙方承担；</w:t>
      </w:r>
    </w:p>
    <w:p w14:paraId="28067510">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（3）甲方和乙方承担各自人员伤亡和财产的损失；</w:t>
      </w:r>
    </w:p>
    <w:p w14:paraId="1AC5B6FD">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（4）因不可抗力影响乙方履行合同约定的义务，已经引起或将引起工期延误的，应当顺延工期，由此导致乙方停工的费用损失由甲方和乙方合理分担。</w:t>
      </w:r>
    </w:p>
    <w:p w14:paraId="2E09C906">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不可抗力发生后，乙方应采取措施尽量避免和减少损失的扩大，乙方没有采取有效措施导致损失扩大的，应对扩大的损失承担责任。</w:t>
      </w:r>
    </w:p>
    <w:p w14:paraId="4871BF19">
      <w:pPr>
        <w:pStyle w:val="1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因乙方迟延履行合同义务，在迟延履行期间遭遇不可抗力的，不免除其违约责任。</w:t>
      </w:r>
    </w:p>
    <w:p w14:paraId="4EBD0CB4">
      <w:pPr>
        <w:pStyle w:val="1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20.4 因不可抗力解除合同</w:t>
      </w:r>
    </w:p>
    <w:p w14:paraId="459D4170">
      <w:pPr>
        <w:pStyle w:val="1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因不可抗力导致合同无法履行连续超过</w:t>
      </w:r>
      <w:r>
        <w:rPr>
          <w:rFonts w:hint="eastAsia" w:ascii="仿宋_GB2312" w:hAnsi="仿宋_GB2312" w:eastAsia="仿宋_GB2312" w:cs="仿宋_GB2312"/>
          <w:sz w:val="28"/>
          <w:szCs w:val="28"/>
          <w:u w:val="single"/>
        </w:rPr>
        <w:t>7</w:t>
      </w:r>
      <w:r>
        <w:rPr>
          <w:rFonts w:hint="eastAsia" w:ascii="仿宋_GB2312" w:hAnsi="仿宋_GB2312" w:eastAsia="仿宋_GB2312" w:cs="仿宋_GB2312"/>
          <w:sz w:val="28"/>
          <w:szCs w:val="28"/>
        </w:rPr>
        <w:t>日或累计超过</w:t>
      </w:r>
      <w:r>
        <w:rPr>
          <w:rFonts w:hint="eastAsia" w:ascii="仿宋_GB2312" w:hAnsi="仿宋_GB2312" w:eastAsia="仿宋_GB2312" w:cs="仿宋_GB2312"/>
          <w:sz w:val="28"/>
          <w:szCs w:val="28"/>
          <w:u w:val="single"/>
        </w:rPr>
        <w:t>14</w:t>
      </w:r>
      <w:r>
        <w:rPr>
          <w:rFonts w:hint="eastAsia" w:ascii="仿宋_GB2312" w:hAnsi="仿宋_GB2312" w:eastAsia="仿宋_GB2312" w:cs="仿宋_GB2312"/>
          <w:sz w:val="28"/>
          <w:szCs w:val="28"/>
        </w:rPr>
        <w:t>日的，双方均有权解除合同。</w:t>
      </w:r>
    </w:p>
    <w:p w14:paraId="3CE43CAE">
      <w:pPr>
        <w:pStyle w:val="2"/>
        <w:spacing w:before="0" w:after="0" w:line="560" w:lineRule="exact"/>
        <w:rPr>
          <w:rFonts w:hint="eastAsia" w:ascii="仿宋_GB2312" w:hAnsi="仿宋_GB2312" w:eastAsia="仿宋_GB2312" w:cs="仿宋_GB2312"/>
          <w:sz w:val="28"/>
          <w:szCs w:val="28"/>
        </w:rPr>
      </w:pPr>
      <w:bookmarkStart w:id="136" w:name="_Toc23809"/>
      <w:r>
        <w:rPr>
          <w:rFonts w:hint="eastAsia" w:ascii="仿宋_GB2312" w:hAnsi="仿宋_GB2312" w:eastAsia="仿宋_GB2312" w:cs="仿宋_GB2312"/>
          <w:sz w:val="28"/>
          <w:szCs w:val="28"/>
        </w:rPr>
        <w:t>第二十一条 审计</w:t>
      </w:r>
      <w:bookmarkEnd w:id="136"/>
    </w:p>
    <w:p w14:paraId="1AF8B4A2">
      <w:pPr>
        <w:pStyle w:val="10"/>
        <w:spacing w:line="560" w:lineRule="exact"/>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根据发包人对本工程审计的要求，相关审计部门对本工程的审计结论对乙方同时具有约束力，甲方有权根据审计结论对乙方合同价款等进行对应调整。</w:t>
      </w:r>
    </w:p>
    <w:p w14:paraId="52366106">
      <w:pPr>
        <w:pStyle w:val="2"/>
        <w:spacing w:before="0" w:after="0" w:line="560" w:lineRule="exact"/>
        <w:rPr>
          <w:rFonts w:hint="eastAsia" w:ascii="仿宋_GB2312" w:hAnsi="仿宋_GB2312" w:eastAsia="仿宋_GB2312" w:cs="仿宋_GB2312"/>
          <w:sz w:val="28"/>
          <w:szCs w:val="28"/>
        </w:rPr>
      </w:pPr>
      <w:bookmarkStart w:id="137" w:name="_Toc20332"/>
      <w:r>
        <w:rPr>
          <w:rFonts w:hint="eastAsia" w:ascii="仿宋_GB2312" w:hAnsi="仿宋_GB2312" w:eastAsia="仿宋_GB2312" w:cs="仿宋_GB2312"/>
          <w:sz w:val="28"/>
          <w:szCs w:val="28"/>
        </w:rPr>
        <w:t>第二十二条 合同文件的组成</w:t>
      </w:r>
      <w:bookmarkEnd w:id="137"/>
    </w:p>
    <w:p w14:paraId="0B350989">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22.1招标文件、投标文件、答疑澄清文件、设计变更通知书、技术联系单；</w:t>
      </w:r>
    </w:p>
    <w:p w14:paraId="0CBB84E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22.2甲乙双方合同书、补充协议书及附件；</w:t>
      </w:r>
    </w:p>
    <w:p w14:paraId="10E5FA8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22.3中标通知书；</w:t>
      </w:r>
    </w:p>
    <w:p w14:paraId="61C9668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22.4乙方投标书；</w:t>
      </w:r>
    </w:p>
    <w:p w14:paraId="0670616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22.5本项目施工技术规范、技术交底、作业指导书、图纸；</w:t>
      </w:r>
    </w:p>
    <w:p w14:paraId="2055840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22.6本项目工程质量检查、验收标准；</w:t>
      </w:r>
    </w:p>
    <w:p w14:paraId="0BB6278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22.7本项目施工安全标准；</w:t>
      </w:r>
    </w:p>
    <w:p w14:paraId="661747F9">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22.8本项目施工组织设计；</w:t>
      </w:r>
    </w:p>
    <w:p w14:paraId="263104C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22.9本项目施工工期、进度计划（含节点计划）；</w:t>
      </w:r>
    </w:p>
    <w:p w14:paraId="41923B8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22.10发包人、监理和甲方的文件；</w:t>
      </w:r>
    </w:p>
    <w:p w14:paraId="2201E0E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22.11甲乙双方会议纪要；</w:t>
      </w:r>
    </w:p>
    <w:p w14:paraId="3D1E400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22.12甲方与发包人签订的合同。</w:t>
      </w:r>
    </w:p>
    <w:p w14:paraId="4C8C4B2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以上文件相互补充，若有不明确或不一致之处，以上列次序在先者为准。合同文件组成中，招标文件与本合同不一致的，以招标文件为准。</w:t>
      </w:r>
    </w:p>
    <w:p w14:paraId="3D2AF5FF">
      <w:pPr>
        <w:pStyle w:val="2"/>
        <w:spacing w:before="0" w:after="0" w:line="560" w:lineRule="exact"/>
        <w:rPr>
          <w:rFonts w:hint="eastAsia" w:ascii="仿宋_GB2312" w:hAnsi="仿宋_GB2312" w:eastAsia="仿宋_GB2312" w:cs="仿宋_GB2312"/>
          <w:sz w:val="28"/>
          <w:szCs w:val="28"/>
          <w:lang w:val="en-US"/>
        </w:rPr>
      </w:pPr>
      <w:bookmarkStart w:id="138" w:name="_Toc25679"/>
      <w:r>
        <w:rPr>
          <w:rFonts w:hint="eastAsia" w:ascii="仿宋_GB2312" w:hAnsi="仿宋_GB2312" w:eastAsia="仿宋_GB2312" w:cs="仿宋_GB2312"/>
          <w:sz w:val="28"/>
          <w:szCs w:val="28"/>
        </w:rPr>
        <w:t>第二十</w:t>
      </w:r>
      <w:r>
        <w:rPr>
          <w:rFonts w:hint="eastAsia" w:ascii="仿宋_GB2312" w:hAnsi="仿宋_GB2312" w:eastAsia="仿宋_GB2312" w:cs="仿宋_GB2312"/>
          <w:sz w:val="28"/>
          <w:szCs w:val="28"/>
          <w:lang w:val="en-US"/>
        </w:rPr>
        <w:t>三</w:t>
      </w:r>
      <w:r>
        <w:rPr>
          <w:rFonts w:hint="eastAsia" w:ascii="仿宋_GB2312" w:hAnsi="仿宋_GB2312" w:eastAsia="仿宋_GB2312" w:cs="仿宋_GB2312"/>
          <w:sz w:val="28"/>
          <w:szCs w:val="28"/>
        </w:rPr>
        <w:t>条</w:t>
      </w:r>
      <w:r>
        <w:rPr>
          <w:rFonts w:hint="eastAsia" w:ascii="仿宋_GB2312" w:hAnsi="仿宋_GB2312" w:eastAsia="仿宋_GB2312" w:cs="仿宋_GB2312"/>
          <w:sz w:val="28"/>
          <w:szCs w:val="28"/>
          <w:lang w:val="en-US"/>
        </w:rPr>
        <w:t xml:space="preserve"> 土石方工程其他要求</w:t>
      </w:r>
      <w:bookmarkEnd w:id="138"/>
    </w:p>
    <w:p w14:paraId="342C1CA4">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23.1 运输起止地</w:t>
      </w:r>
    </w:p>
    <w:p w14:paraId="1B5393B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23.1.1起始地：施工现场；目的地：甲方指定地点。</w:t>
      </w:r>
    </w:p>
    <w:p w14:paraId="7056F95E">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23.1.2乙方提供自卸式工程运输车辆及驾驶员，驾驶员工资及车辆的燃油维修保养费用由乙方自行承担。</w:t>
      </w:r>
    </w:p>
    <w:p w14:paraId="53A99132">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23.2 </w:t>
      </w:r>
      <w:bookmarkStart w:id="139" w:name="_Hlk179365667"/>
      <w:bookmarkStart w:id="140" w:name="_Hlk179378044"/>
      <w:r>
        <w:rPr>
          <w:rFonts w:hint="eastAsia" w:ascii="仿宋_GB2312" w:hAnsi="仿宋_GB2312" w:eastAsia="仿宋_GB2312" w:cs="仿宋_GB2312"/>
          <w:sz w:val="28"/>
          <w:szCs w:val="28"/>
        </w:rPr>
        <w:t>履约担保</w:t>
      </w:r>
    </w:p>
    <w:bookmarkEnd w:id="139"/>
    <w:p w14:paraId="2B34035B">
      <w:pPr>
        <w:spacing w:line="560" w:lineRule="exact"/>
        <w:ind w:firstLine="560" w:firstLineChars="200"/>
        <w:rPr>
          <w:rFonts w:hint="eastAsia" w:ascii="仿宋_GB2312" w:hAnsi="仿宋_GB2312" w:eastAsia="仿宋_GB2312" w:cs="仿宋_GB2312"/>
          <w:sz w:val="28"/>
          <w:szCs w:val="28"/>
          <w:lang w:bidi="ar"/>
        </w:rPr>
      </w:pPr>
      <w:bookmarkStart w:id="141" w:name="_Hlk179375820"/>
      <w:r>
        <w:rPr>
          <w:rFonts w:hint="eastAsia" w:ascii="仿宋_GB2312" w:hAnsi="仿宋_GB2312" w:eastAsia="仿宋_GB2312" w:cs="仿宋_GB2312"/>
          <w:sz w:val="28"/>
          <w:szCs w:val="28"/>
          <w:lang w:bidi="ar"/>
        </w:rPr>
        <w:t>23.2.1在签订合同前，乙方应向甲方指定银行账户转账</w:t>
      </w:r>
      <w:r>
        <w:rPr>
          <w:rFonts w:hint="eastAsia" w:ascii="仿宋_GB2312" w:hAnsi="仿宋_GB2312" w:eastAsia="仿宋_GB2312" w:cs="仿宋_GB2312"/>
          <w:sz w:val="28"/>
          <w:szCs w:val="28"/>
          <w:u w:val="single"/>
          <w:lang w:bidi="ar"/>
        </w:rPr>
        <w:t xml:space="preserve">  / </w:t>
      </w:r>
      <w:r>
        <w:rPr>
          <w:rFonts w:hint="eastAsia" w:ascii="仿宋_GB2312" w:hAnsi="仿宋_GB2312" w:eastAsia="仿宋_GB2312" w:cs="仿宋_GB2312"/>
          <w:sz w:val="28"/>
          <w:szCs w:val="28"/>
          <w:lang w:bidi="ar"/>
        </w:rPr>
        <w:t>元作为履约保证金或提供</w:t>
      </w:r>
      <w:r>
        <w:rPr>
          <w:rFonts w:hint="eastAsia" w:ascii="仿宋_GB2312" w:hAnsi="仿宋_GB2312" w:eastAsia="仿宋_GB2312" w:cs="仿宋_GB2312"/>
          <w:sz w:val="28"/>
          <w:szCs w:val="28"/>
          <w:u w:val="single"/>
          <w:lang w:bidi="ar"/>
        </w:rPr>
        <w:t xml:space="preserve">   50000   </w:t>
      </w:r>
      <w:r>
        <w:rPr>
          <w:rFonts w:hint="eastAsia" w:ascii="仿宋_GB2312" w:hAnsi="仿宋_GB2312" w:eastAsia="仿宋_GB2312" w:cs="仿宋_GB2312"/>
          <w:sz w:val="28"/>
          <w:szCs w:val="28"/>
          <w:lang w:bidi="ar"/>
        </w:rPr>
        <w:t>元金额入库保证金</w:t>
      </w:r>
    </w:p>
    <w:p w14:paraId="05718BE2">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23.2.2履约保函格式按照采购文件规定办理。</w:t>
      </w:r>
    </w:p>
    <w:p w14:paraId="70101E10">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23.2.3履约保函的续期：履约保函到期前甲方两个月内督促乙方续办，若到期未续办，需交纳等额的履约保证金或以未付等额的款项转为履约保证金，否则后期不予结算。</w:t>
      </w:r>
    </w:p>
    <w:p w14:paraId="355E3829">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23.2.4履约保证金退还方式、期限及标准：按采购文件约定执行。</w:t>
      </w:r>
    </w:p>
    <w:p w14:paraId="7A9D498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bidi="ar"/>
        </w:rPr>
        <w:t>23.2.5工程款转保证金：工程款转履约担保的，保证金应在前</w:t>
      </w:r>
      <w:r>
        <w:rPr>
          <w:rFonts w:hint="eastAsia" w:ascii="仿宋_GB2312" w:hAnsi="仿宋_GB2312" w:eastAsia="仿宋_GB2312" w:cs="仿宋_GB2312"/>
          <w:sz w:val="28"/>
          <w:szCs w:val="28"/>
        </w:rPr>
        <w:t>三次付款完成扣留，并转至公司履约保证金专户。</w:t>
      </w:r>
    </w:p>
    <w:bookmarkEnd w:id="140"/>
    <w:bookmarkEnd w:id="141"/>
    <w:p w14:paraId="7F1B52B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23.3 运输安全及施工进度</w:t>
      </w:r>
    </w:p>
    <w:p w14:paraId="5641A5E0">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rPr>
        <w:t>23.3.1乙方必须按照甲方指定的工作进度、作业时间、工作面、运</w:t>
      </w:r>
      <w:r>
        <w:rPr>
          <w:rFonts w:hint="eastAsia" w:ascii="仿宋_GB2312" w:hAnsi="仿宋_GB2312" w:eastAsia="仿宋_GB2312" w:cs="仿宋_GB2312"/>
          <w:sz w:val="28"/>
          <w:szCs w:val="28"/>
          <w:lang w:bidi="ar"/>
        </w:rPr>
        <w:t>输起止地和运输数量完成各项运输任务。</w:t>
      </w:r>
    </w:p>
    <w:p w14:paraId="2F856967">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rPr>
        <w:t>23.3.2</w:t>
      </w:r>
      <w:r>
        <w:rPr>
          <w:rFonts w:hint="eastAsia" w:ascii="仿宋_GB2312" w:hAnsi="仿宋_GB2312" w:eastAsia="仿宋_GB2312" w:cs="仿宋_GB2312"/>
          <w:sz w:val="28"/>
          <w:szCs w:val="28"/>
          <w:lang w:bidi="ar"/>
        </w:rPr>
        <w:t>乙方在履行合同过程中，必须确保运输安全。如因乙方过错发生各类人身、财产安全事故，由乙方承担责任。</w:t>
      </w:r>
    </w:p>
    <w:p w14:paraId="2C2964E4">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rPr>
        <w:t>23.3.3</w:t>
      </w:r>
      <w:r>
        <w:rPr>
          <w:rFonts w:hint="eastAsia" w:ascii="仿宋_GB2312" w:hAnsi="仿宋_GB2312" w:eastAsia="仿宋_GB2312" w:cs="仿宋_GB2312"/>
          <w:sz w:val="28"/>
          <w:szCs w:val="28"/>
          <w:lang w:bidi="ar"/>
        </w:rPr>
        <w:t>乙方在施工过程中若因设备不足、资金不足、人员不够、管理不力等原因造成进度计划滞后的，也不按甲方的施工要求调整力量的，甲方有权解除合同，同时乙方应承担合同价</w:t>
      </w:r>
      <w:r>
        <w:rPr>
          <w:rFonts w:hint="eastAsia" w:ascii="仿宋_GB2312" w:hAnsi="仿宋_GB2312" w:eastAsia="仿宋_GB2312" w:cs="仿宋_GB2312"/>
          <w:sz w:val="28"/>
          <w:szCs w:val="28"/>
          <w:u w:val="single"/>
          <w:lang w:bidi="ar"/>
        </w:rPr>
        <w:t xml:space="preserve">    </w:t>
      </w:r>
      <w:r>
        <w:rPr>
          <w:rFonts w:hint="eastAsia" w:ascii="仿宋_GB2312" w:hAnsi="仿宋_GB2312" w:eastAsia="仿宋_GB2312" w:cs="仿宋_GB2312"/>
          <w:sz w:val="28"/>
          <w:szCs w:val="28"/>
          <w:lang w:bidi="ar"/>
        </w:rPr>
        <w:t xml:space="preserve"> %违约金给甲方，且由此造成的一切损失全部由乙方负责；</w:t>
      </w:r>
    </w:p>
    <w:p w14:paraId="4B105BD0">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rPr>
        <w:t>23.3.4</w:t>
      </w:r>
      <w:r>
        <w:rPr>
          <w:rFonts w:hint="eastAsia" w:ascii="仿宋_GB2312" w:hAnsi="仿宋_GB2312" w:eastAsia="仿宋_GB2312" w:cs="仿宋_GB2312"/>
          <w:sz w:val="28"/>
          <w:szCs w:val="28"/>
          <w:lang w:bidi="ar"/>
        </w:rPr>
        <w:t>乙方必须无条件服从业主及甲方统一进度计划安排配备足够的人员和运输车辆以保证总体施工计划的实现。</w:t>
      </w:r>
    </w:p>
    <w:p w14:paraId="4D9F245C">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 xml:space="preserve">23.4 运输管理 </w:t>
      </w:r>
    </w:p>
    <w:p w14:paraId="6D42C98A">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23.4.1乙方运输车辆必须严格遵守施工现场交通规则，积极维护施工现场交通秩序，保证施工现场道路的畅通和运输安全，不得乱停、乱靠、乱装、乱卸，不得争道抢行，不得超速超载。运输过程中，运输车辆不得对周边造成扬尘污染、路面污染和噪声污染。</w:t>
      </w:r>
    </w:p>
    <w:p w14:paraId="363AB775">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23.4.2乙方应当按时、保质、保量完成各项运输任务。</w:t>
      </w:r>
    </w:p>
    <w:p w14:paraId="059CD4F4">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23.4.3乙方的食宿和车辆停放场地由乙方负责，费用自理。</w:t>
      </w:r>
    </w:p>
    <w:p w14:paraId="6CA2591F">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23.4.4乙方运输车辆的运输作业时间由甲方统一安排，建立按时作业制度，不得迟到、早退。因车辆检修或其他特殊原因确需暂停运输作业的，应提前一日向甲方提出书面申请，经甲方批准后方可暂停运输作业。</w:t>
      </w:r>
    </w:p>
    <w:p w14:paraId="2B41FB37">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23.4.5乙方应当配备具有操作证件及资格的人员并同该人员订立劳动合同，为其购买社会保险，合同履行过程中乙方有关人员遭受伤害的，由乙方自行承担责任。</w:t>
      </w:r>
    </w:p>
    <w:p w14:paraId="1D4F37B0">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23.4.6乙方应当为其车辆购买满足运输要求的保险，合同履行过程中因乙方车辆自身原因或者乙方机械操作人员等有关人员导致的交通事故或者其他事故致使甲乙双方或者第三方有关人员受伤的，由乙方承担侵权赔偿责任。</w:t>
      </w:r>
    </w:p>
    <w:p w14:paraId="03181217">
      <w:pPr>
        <w:spacing w:line="560" w:lineRule="exact"/>
        <w:ind w:firstLine="562"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b/>
          <w:sz w:val="28"/>
          <w:szCs w:val="28"/>
        </w:rPr>
        <w:t>23.</w:t>
      </w:r>
      <w:r>
        <w:rPr>
          <w:rFonts w:hint="eastAsia" w:ascii="仿宋_GB2312" w:hAnsi="仿宋_GB2312" w:eastAsia="仿宋_GB2312" w:cs="仿宋_GB2312"/>
          <w:sz w:val="28"/>
          <w:szCs w:val="28"/>
          <w:lang w:bidi="ar"/>
        </w:rPr>
        <w:t xml:space="preserve">5 违约责任 </w:t>
      </w:r>
    </w:p>
    <w:p w14:paraId="4D7AA3D8">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本合同生效后，除法律规定解除事由或本合同约定解除事项以外，任何一方不得擅自提前解除本合同或终止本合同义务的履行。甲方擅自提前解除本合同或终止合同义务履行的，须返还乙方履约保证金;乙方擅自提前解除本合同或终止合同义务的履行的，已交履约保证金将不予返回。</w:t>
      </w:r>
    </w:p>
    <w:p w14:paraId="74EC64BE">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23.5.2乙方均不得采用虚假记录、虚假计量或其他方法在运输数量上弄虚作假。否则，除虚假部分的运输数量不得作为运费计算依据外，还须按虚假部分运输数量的运费的拾倍计算违约金。</w:t>
      </w:r>
    </w:p>
    <w:p w14:paraId="2BE1C49C">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23.5.3乙方运输车辆应按照甲方的要求，在指定时间内进入施工现场，开展运输作业，不得延误。否则，甲方有权单方通知乙方提前解除本合同，并没收乙方所交履约保证金。</w:t>
      </w:r>
    </w:p>
    <w:p w14:paraId="0F406A9E">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23.5.4合同项下运输任务完成或者合同期限届满后，乙方的运输车辆应按照甲方的要求，在指定时间内撤出施工现场，不得延误。否则，甲方有权没收乙方所交履约保证金。</w:t>
      </w:r>
    </w:p>
    <w:p w14:paraId="3546EFFD">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23.5.5乙方对自己提供的运输车辆应当具有合法的所有权，车辆已取得国家道路营运和土方施工的权限，并已依照国家法律政策规定购齐有关车辆保险。否则，甲方有权单方通知乙方解除本合同，并没收乙方所交履约保证金。</w:t>
      </w:r>
    </w:p>
    <w:p w14:paraId="7D718669">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23.5.6乙方运输车辆不服从甲方的统一分配、管理、调度和指挥，妨碍施工现场交通运输秩序的，每查处一次乙方应当向甲方支付违约金人民币伍佰元 (￥：500元)，由甲方在支付给乙方的运费中扣除。</w:t>
      </w:r>
    </w:p>
    <w:p w14:paraId="073E719E">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23.5.7乙方运输车辆必须按照甲方的指令要求，定点装卸，不得乱装、乱卸。否则，甲方有权对乙方非定点装载部分的运输量不予结算，从乙方运输台账中剔除;如属非定点卸载的，还须由乙方负责将非定点卸载部分的土方进行清理，装运至指定地点卸载，乙方自行承担相应费用。</w:t>
      </w:r>
    </w:p>
    <w:p w14:paraId="01997D77">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23.5.8合同履行过程中，乙方如发生三车次以上(含三车次)非定点装载违约行为的，甲方有权单方通知乙方解除本合同，并没收乙方所交履约保证金。</w:t>
      </w:r>
    </w:p>
    <w:p w14:paraId="786EE125">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23.5.9乙方运输车辆非经甲方批准，擅自停止运输作业时间累计达48个小时以上(含48小时)的，甲方有权单方通知乙方解除本合同，未结算部分运费将不再结算支付，并没收乙方所交履约保证金。</w:t>
      </w:r>
    </w:p>
    <w:p w14:paraId="50C03B02">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23.5.10乙方运输车辆在运输作业中造成周边环境扬尘污染、路面污染或噪声污染，被有关部门处以行政罚款的，由乙方承担。如因此给甲方造成损失的，甲方有权向乙方追偿，追偿时可从乙方的运费或履约保证金中扣除。</w:t>
      </w:r>
    </w:p>
    <w:p w14:paraId="79A496C3">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23.5.11乙方必须按照环保部门要求服从建设单位、监理单位、甲方的质量管理。接受建设单位、监理单位与甲方的检查，并执行建设单位、监理单位、甲方下达的工作指令。乙方应积极配合、支持建设单位、监理单位的检查、监督，所发生的费用由乙方负责。对乙方拒绝执行建设单位、监理单位及甲方工作指令的，乙方每次应向甲方支付5000元的违约金，同时甲方有权解除合同。若因乙方原因造成甲方遭到建设单位、监理单位罚款的，则由乙方全额承担。</w:t>
      </w:r>
    </w:p>
    <w:p w14:paraId="3A38AB47">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23.5.12施工现场整洁、文明、有序、高效并制定相关的各项制度及措施，现场使用的运输车辆等必须符合甲方要求。</w:t>
      </w:r>
    </w:p>
    <w:p w14:paraId="2B0FA720">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23.5.13乙方机械操作人员必须持有效证件上岗；</w:t>
      </w:r>
    </w:p>
    <w:p w14:paraId="128B326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bidi="ar"/>
        </w:rPr>
        <w:t>23.5.14乙方承诺承担施工过程中发生的安全事故和意外事件所造成</w:t>
      </w:r>
      <w:r>
        <w:rPr>
          <w:rFonts w:hint="eastAsia" w:ascii="仿宋_GB2312" w:hAnsi="仿宋_GB2312" w:eastAsia="仿宋_GB2312" w:cs="仿宋_GB2312"/>
          <w:sz w:val="28"/>
          <w:szCs w:val="28"/>
        </w:rPr>
        <w:t>的一切经济损失（含乙方雇佣人员人身伤害），甲方因上述原因对外承担的费用，甲方有权从乙方应得运输费用中直接扣除，不足部分乙方另行支付给甲方。</w:t>
      </w:r>
    </w:p>
    <w:p w14:paraId="011A0AC4">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23.5.15乙方应按有关法律规定，为雇佣人员办理建筑工程施工人员团体人身意外伤害保险或雇主责任险，单人保险赔付额不低于50万元，保费乙方承担。如甲方另行投保，乙方按承包工程占甲方承建工程金额比例承担保费。</w:t>
      </w:r>
    </w:p>
    <w:p w14:paraId="5F1BB726">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23.5.16乙方对自己进场人员严格管理，严格遵守国家法律法规以及地方有关规章政策。乙方对所发生的民事纠纷和其他严重事件，造成后果由乙方自负，甲方不承担任何责任。如果甲方为此被他人追究责任，乙方承诺：甲方有权向乙方追偿，并从乙方应得运输费用中直接扣除，不足部分乙方另行支付给甲方。</w:t>
      </w:r>
    </w:p>
    <w:p w14:paraId="454E249E">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23.5.17乙方负责其施工范围内的地方协调工作，在施工期间由此发生的纠纷和阻挠项目施工造成的经济损失由乙方自行承担，在乙方无法协调解决并支付赔偿时，甲方根据情况有权暂停乙方运输结算款的支付，待乙方协商解决后监督赔付，乙方不得以此为理由怠工、鼓动地方闹事阻碍施工，否则乙方按10000元/次支付甲方违约金,造成甲方的经济损失,由乙方承担,甲方有权解除合同。</w:t>
      </w:r>
    </w:p>
    <w:p w14:paraId="61DF9158">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23.5.18乙方与甲方签订合同的授权委托人，必须是派驻现场的负责人，并坚持在施工现场履行合同责任，不允许将运输任务转包他人，对转包他人的行为，一经发现，视乙方根本违约，甲方有权解除合同，因此造成的一切损失由乙方承担。</w:t>
      </w:r>
    </w:p>
    <w:p w14:paraId="58D7D5E7">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23.5.19乙方负责做好施工现场文明施工和扬尘治理等工作，安排人员场地清扫、垃圾清除及渣土遮盖等工作，费用由乙方承担。</w:t>
      </w:r>
    </w:p>
    <w:p w14:paraId="6B35DF33">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23.5.20乙方与任何第三方签订的经济合同，甲方均不承担任何连带责任。如果甲方为此被他人追究责任，乙方承诺：甲方有权向乙方追偿，并从乙方应得运输费用中直接扣除。</w:t>
      </w:r>
    </w:p>
    <w:p w14:paraId="0CC09108">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23.5.21乙方在运送土方过程中应当采取措施保证安全文明施工，不得造成泥土抛撒，若抛撒泥土的应当及时清理，因乙方未及时清理造成人身损害赔偿的，由乙方承担全部责任。</w:t>
      </w:r>
    </w:p>
    <w:p w14:paraId="528889CA">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23.5.22乙方应当及时办理渣土证保证运输顺利，因乙方未及时办理渣土证或无法办理给甲方造成损失的，应当承担相应的赔偿责任，并承担违约金</w:t>
      </w:r>
      <w:r>
        <w:rPr>
          <w:rFonts w:hint="eastAsia" w:ascii="仿宋_GB2312" w:hAnsi="仿宋_GB2312" w:eastAsia="仿宋_GB2312" w:cs="仿宋_GB2312"/>
          <w:sz w:val="28"/>
          <w:szCs w:val="28"/>
          <w:u w:val="single"/>
          <w:lang w:bidi="ar"/>
        </w:rPr>
        <w:t xml:space="preserve">    </w:t>
      </w:r>
      <w:r>
        <w:rPr>
          <w:rFonts w:hint="eastAsia" w:ascii="仿宋_GB2312" w:hAnsi="仿宋_GB2312" w:eastAsia="仿宋_GB2312" w:cs="仿宋_GB2312"/>
          <w:sz w:val="28"/>
          <w:szCs w:val="28"/>
          <w:lang w:bidi="ar"/>
        </w:rPr>
        <w:t>万元。</w:t>
      </w:r>
    </w:p>
    <w:p w14:paraId="5B1AF8D3">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23.5.23乙方必须自行履行合同义务，不得将运输任务分解或者整体转给他人履行，否则视为乙方根本违约，甲方有权解除合同并没收履约保证金。</w:t>
      </w:r>
    </w:p>
    <w:p w14:paraId="34C8ACD1">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23.5.24本合同项下债权不得转让，否则乙方按照合同价款的</w:t>
      </w:r>
      <w:r>
        <w:rPr>
          <w:rFonts w:hint="eastAsia" w:ascii="仿宋_GB2312" w:hAnsi="仿宋_GB2312" w:eastAsia="仿宋_GB2312" w:cs="仿宋_GB2312"/>
          <w:sz w:val="28"/>
          <w:szCs w:val="28"/>
          <w:u w:val="single"/>
          <w:lang w:bidi="ar"/>
        </w:rPr>
        <w:t xml:space="preserve">     </w:t>
      </w:r>
      <w:r>
        <w:rPr>
          <w:rFonts w:hint="eastAsia" w:ascii="仿宋_GB2312" w:hAnsi="仿宋_GB2312" w:eastAsia="仿宋_GB2312" w:cs="仿宋_GB2312"/>
          <w:sz w:val="28"/>
          <w:szCs w:val="28"/>
          <w:lang w:bidi="ar"/>
        </w:rPr>
        <w:t xml:space="preserve"> %承担违约责任。</w:t>
      </w:r>
    </w:p>
    <w:p w14:paraId="119A9290">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 xml:space="preserve">23.5.25乙方发生上述约定的违约行为或者有其他违约行为时，除应当按照上述约定承担违约责任，还应当向甲方支付合同价款 </w:t>
      </w:r>
      <w:r>
        <w:rPr>
          <w:rFonts w:hint="eastAsia" w:ascii="仿宋_GB2312" w:hAnsi="仿宋_GB2312" w:eastAsia="仿宋_GB2312" w:cs="仿宋_GB2312"/>
          <w:sz w:val="28"/>
          <w:szCs w:val="28"/>
          <w:u w:val="single"/>
          <w:lang w:bidi="ar"/>
        </w:rPr>
        <w:t xml:space="preserve">    </w:t>
      </w:r>
      <w:r>
        <w:rPr>
          <w:rFonts w:hint="eastAsia" w:ascii="仿宋_GB2312" w:hAnsi="仿宋_GB2312" w:eastAsia="仿宋_GB2312" w:cs="仿宋_GB2312"/>
          <w:sz w:val="28"/>
          <w:szCs w:val="28"/>
          <w:lang w:bidi="ar"/>
        </w:rPr>
        <w:t xml:space="preserve"> %的惩罚性违约金。</w:t>
      </w:r>
    </w:p>
    <w:p w14:paraId="71F56079">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23.5.26因甲方原因导致甲方逾期付款的，宽限期为</w:t>
      </w:r>
      <w:r>
        <w:rPr>
          <w:rFonts w:hint="eastAsia" w:ascii="仿宋_GB2312" w:hAnsi="仿宋_GB2312" w:eastAsia="仿宋_GB2312" w:cs="仿宋_GB2312"/>
          <w:sz w:val="28"/>
          <w:szCs w:val="28"/>
          <w:u w:val="single"/>
          <w:lang w:bidi="ar"/>
        </w:rPr>
        <w:t xml:space="preserve">    </w:t>
      </w:r>
      <w:r>
        <w:rPr>
          <w:rFonts w:hint="eastAsia" w:ascii="仿宋_GB2312" w:hAnsi="仿宋_GB2312" w:eastAsia="仿宋_GB2312" w:cs="仿宋_GB2312"/>
          <w:sz w:val="28"/>
          <w:szCs w:val="28"/>
          <w:lang w:bidi="ar"/>
        </w:rPr>
        <w:t>个月，宽限期后仍未付款的，甲方应承担欠付款项利息（以欠付款项为基数，按照全国银行间同业拆借中心贷款基础利率自宽限期满之日起计算至款清之日），但甲方所承担的所有欠付款项利息不得超过欠款的5%。</w:t>
      </w:r>
    </w:p>
    <w:p w14:paraId="6D82EAB4">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23.5.27因乙方原因导致合同已履行部分无法进行结算、开具合同约定发票及款项无法支付的，由乙方自行承担相应责任及损失。</w:t>
      </w:r>
    </w:p>
    <w:p w14:paraId="5272F932">
      <w:pPr>
        <w:spacing w:line="560" w:lineRule="exact"/>
        <w:ind w:firstLine="560" w:firstLineChars="200"/>
        <w:rPr>
          <w:rFonts w:hint="eastAsia"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23.5.28因乙方违约导致诉讼或仲裁，因诉讼或仲裁产生的律师费、保全担保费、保全费、诉讼费、仲裁案件处理费等一切费用均由乙方承担。</w:t>
      </w:r>
    </w:p>
    <w:p w14:paraId="1FCECC1B">
      <w:pPr>
        <w:spacing w:line="560" w:lineRule="exact"/>
        <w:ind w:firstLine="560" w:firstLineChars="200"/>
        <w:rPr>
          <w:rFonts w:hint="eastAsia" w:ascii="仿宋" w:hAnsi="仿宋" w:eastAsia="仿宋" w:cs="仿宋"/>
          <w:sz w:val="28"/>
          <w:szCs w:val="28"/>
          <w:lang w:bidi="ar"/>
        </w:rPr>
      </w:pPr>
    </w:p>
    <w:p w14:paraId="5B78F296">
      <w:pPr>
        <w:pStyle w:val="2"/>
        <w:spacing w:before="0" w:after="0" w:line="560" w:lineRule="exact"/>
        <w:rPr>
          <w:rFonts w:hint="eastAsia" w:ascii="仿宋_GB2312" w:hAnsi="仿宋_GB2312" w:eastAsia="仿宋_GB2312" w:cs="仿宋_GB2312"/>
          <w:sz w:val="28"/>
          <w:szCs w:val="28"/>
          <w:lang w:val="en-US"/>
        </w:rPr>
      </w:pPr>
      <w:bookmarkStart w:id="142" w:name="_Toc12267"/>
      <w:r>
        <w:rPr>
          <w:rFonts w:hint="eastAsia" w:ascii="仿宋_GB2312" w:hAnsi="仿宋_GB2312" w:eastAsia="仿宋_GB2312" w:cs="仿宋_GB2312"/>
          <w:sz w:val="28"/>
          <w:szCs w:val="28"/>
          <w:lang w:val="en-US"/>
        </w:rPr>
        <w:t>第二十四条 附则</w:t>
      </w:r>
      <w:bookmarkEnd w:id="142"/>
    </w:p>
    <w:p w14:paraId="49FF48F9">
      <w:pPr>
        <w:spacing w:line="560" w:lineRule="exact"/>
        <w:ind w:firstLine="48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24.1</w:t>
      </w:r>
      <w:r>
        <w:rPr>
          <w:rFonts w:hint="eastAsia" w:ascii="仿宋_GB2312" w:hAnsi="仿宋_GB2312" w:eastAsia="仿宋_GB2312" w:cs="仿宋_GB2312"/>
          <w:sz w:val="28"/>
          <w:szCs w:val="28"/>
        </w:rPr>
        <w:t>在本合同履行过程中，如任何一方发生税务登记、公司名称等重大信息的变更事项，应在重大信息变更后</w:t>
      </w:r>
      <w:r>
        <w:rPr>
          <w:rFonts w:hint="eastAsia" w:ascii="仿宋_GB2312" w:hAnsi="仿宋_GB2312" w:eastAsia="仿宋_GB2312" w:cs="仿宋_GB2312"/>
          <w:sz w:val="28"/>
          <w:szCs w:val="28"/>
          <w:u w:val="single"/>
        </w:rPr>
        <w:t>3</w:t>
      </w:r>
      <w:r>
        <w:rPr>
          <w:rFonts w:hint="eastAsia" w:ascii="仿宋_GB2312" w:hAnsi="仿宋_GB2312" w:eastAsia="仿宋_GB2312" w:cs="仿宋_GB2312"/>
          <w:sz w:val="28"/>
          <w:szCs w:val="28"/>
        </w:rPr>
        <w:t>日内书面通知对方变更情况，并提供相关信息资料。</w:t>
      </w:r>
    </w:p>
    <w:p w14:paraId="619F422F">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24.2双方对本合同条款均已完全理解，对履行本合同可能存在的各项风险包括工程停建、工期变更、资金周转、自然条件变化、征地拆迁滞后、图纸迟延等均已充分判断，乙方签订本合同则视为自愿承担可能存在的各种风险。</w:t>
      </w:r>
    </w:p>
    <w:p w14:paraId="35BAFB16">
      <w:pPr>
        <w:tabs>
          <w:tab w:val="left" w:pos="1488"/>
        </w:tabs>
        <w:spacing w:line="560" w:lineRule="exact"/>
        <w:ind w:firstLine="560" w:firstLineChars="200"/>
        <w:rPr>
          <w:rFonts w:hint="eastAsia" w:ascii="仿宋_GB2312" w:hAnsi="仿宋_GB2312" w:eastAsia="仿宋_GB2312" w:cs="仿宋_GB2312"/>
          <w:color w:val="000000"/>
          <w:spacing w:val="-11"/>
          <w:sz w:val="28"/>
          <w:szCs w:val="28"/>
        </w:rPr>
      </w:pPr>
      <w:r>
        <w:rPr>
          <w:rFonts w:hint="eastAsia" w:ascii="仿宋_GB2312" w:hAnsi="仿宋_GB2312" w:eastAsia="仿宋_GB2312" w:cs="仿宋_GB2312"/>
          <w:color w:val="000000"/>
          <w:sz w:val="28"/>
          <w:szCs w:val="28"/>
        </w:rPr>
        <w:t>24.3未尽事宜由双方</w:t>
      </w:r>
      <w:r>
        <w:rPr>
          <w:rFonts w:hint="eastAsia" w:ascii="仿宋_GB2312" w:hAnsi="仿宋_GB2312" w:eastAsia="仿宋_GB2312" w:cs="仿宋_GB2312"/>
          <w:color w:val="000000"/>
          <w:spacing w:val="-11"/>
          <w:sz w:val="28"/>
          <w:szCs w:val="28"/>
        </w:rPr>
        <w:t>在合同执行过程中协商，并签署补充协议书。</w:t>
      </w:r>
    </w:p>
    <w:p w14:paraId="613F580D">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24.4本合同从双方签字并盖章之日起生效，</w:t>
      </w:r>
      <w:r>
        <w:rPr>
          <w:rFonts w:hint="eastAsia" w:ascii="仿宋_GB2312" w:hAnsi="仿宋_GB2312" w:eastAsia="仿宋_GB2312" w:cs="仿宋_GB2312"/>
          <w:sz w:val="28"/>
          <w:szCs w:val="28"/>
        </w:rPr>
        <w:t>甲乙双方履行合同全部义务，竣工结算价款支付完毕，乙方向甲方交付竣工的分包工程后，本合同即告终止。分包合同的权利义务终止后，双方应遵循诚实信用原则，履行通知、协助、保密等义务。</w:t>
      </w:r>
    </w:p>
    <w:p w14:paraId="5621DB7D">
      <w:pPr>
        <w:spacing w:line="560" w:lineRule="exact"/>
        <w:ind w:firstLine="560" w:firstLineChars="200"/>
        <w:rPr>
          <w:rFonts w:hint="eastAsia" w:ascii="仿宋_GB2312" w:hAnsi="仿宋_GB2312" w:eastAsia="仿宋_GB2312" w:cs="仿宋_GB2312"/>
          <w:color w:val="000000"/>
          <w:spacing w:val="-6"/>
          <w:sz w:val="28"/>
          <w:szCs w:val="28"/>
        </w:rPr>
      </w:pPr>
      <w:r>
        <w:rPr>
          <w:rFonts w:hint="eastAsia" w:ascii="仿宋_GB2312" w:hAnsi="仿宋_GB2312" w:eastAsia="仿宋_GB2312" w:cs="仿宋_GB2312"/>
          <w:sz w:val="28"/>
          <w:szCs w:val="28"/>
        </w:rPr>
        <w:t>24.5本合同正本</w:t>
      </w:r>
      <w:r>
        <w:rPr>
          <w:rFonts w:hint="eastAsia" w:ascii="仿宋_GB2312" w:hAnsi="仿宋_GB2312" w:eastAsia="仿宋_GB2312" w:cs="仿宋_GB2312"/>
          <w:sz w:val="28"/>
          <w:szCs w:val="28"/>
          <w:u w:val="single"/>
        </w:rPr>
        <w:t>拾</w:t>
      </w:r>
      <w:r>
        <w:rPr>
          <w:rFonts w:hint="eastAsia" w:ascii="仿宋_GB2312" w:hAnsi="仿宋_GB2312" w:eastAsia="仿宋_GB2312" w:cs="仿宋_GB2312"/>
          <w:sz w:val="28"/>
          <w:szCs w:val="28"/>
        </w:rPr>
        <w:t>份，</w:t>
      </w:r>
      <w:r>
        <w:rPr>
          <w:rFonts w:hint="eastAsia" w:ascii="仿宋_GB2312" w:hAnsi="仿宋_GB2312" w:eastAsia="仿宋_GB2312" w:cs="仿宋_GB2312"/>
          <w:spacing w:val="-6"/>
          <w:sz w:val="28"/>
          <w:szCs w:val="28"/>
        </w:rPr>
        <w:t>具有同等效力，甲方执</w:t>
      </w:r>
      <w:r>
        <w:rPr>
          <w:rFonts w:hint="eastAsia" w:ascii="仿宋_GB2312" w:hAnsi="仿宋_GB2312" w:eastAsia="仿宋_GB2312" w:cs="仿宋_GB2312"/>
          <w:spacing w:val="-6"/>
          <w:sz w:val="28"/>
          <w:szCs w:val="28"/>
          <w:u w:val="single"/>
        </w:rPr>
        <w:t>陆</w:t>
      </w:r>
      <w:r>
        <w:rPr>
          <w:rFonts w:hint="eastAsia" w:ascii="仿宋_GB2312" w:hAnsi="仿宋_GB2312" w:eastAsia="仿宋_GB2312" w:cs="仿宋_GB2312"/>
          <w:spacing w:val="-6"/>
          <w:sz w:val="28"/>
          <w:szCs w:val="28"/>
        </w:rPr>
        <w:t>份，乙方执</w:t>
      </w:r>
      <w:r>
        <w:rPr>
          <w:rFonts w:hint="eastAsia" w:ascii="仿宋_GB2312" w:hAnsi="仿宋_GB2312" w:eastAsia="仿宋_GB2312" w:cs="仿宋_GB2312"/>
          <w:spacing w:val="-6"/>
          <w:sz w:val="28"/>
          <w:szCs w:val="28"/>
          <w:u w:val="single"/>
        </w:rPr>
        <w:t>肆</w:t>
      </w:r>
      <w:r>
        <w:rPr>
          <w:rFonts w:hint="eastAsia" w:ascii="仿宋_GB2312" w:hAnsi="仿宋_GB2312" w:eastAsia="仿宋_GB2312" w:cs="仿宋_GB2312"/>
          <w:spacing w:val="-6"/>
          <w:sz w:val="28"/>
          <w:szCs w:val="28"/>
        </w:rPr>
        <w:t>份。</w:t>
      </w:r>
    </w:p>
    <w:p w14:paraId="6BEE3269">
      <w:pPr>
        <w:tabs>
          <w:tab w:val="left" w:pos="1488"/>
        </w:tabs>
        <w:spacing w:line="390" w:lineRule="exact"/>
        <w:rPr>
          <w:rFonts w:hint="eastAsia" w:ascii="宋体" w:hAnsi="宋体"/>
          <w:sz w:val="24"/>
          <w:szCs w:val="24"/>
        </w:rPr>
      </w:pPr>
    </w:p>
    <w:tbl>
      <w:tblPr>
        <w:tblStyle w:val="17"/>
        <w:tblW w:w="0" w:type="auto"/>
        <w:tblInd w:w="0" w:type="dxa"/>
        <w:tblLayout w:type="fixed"/>
        <w:tblCellMar>
          <w:top w:w="0" w:type="dxa"/>
          <w:left w:w="108" w:type="dxa"/>
          <w:bottom w:w="0" w:type="dxa"/>
          <w:right w:w="108" w:type="dxa"/>
        </w:tblCellMar>
      </w:tblPr>
      <w:tblGrid>
        <w:gridCol w:w="4407"/>
        <w:gridCol w:w="4407"/>
      </w:tblGrid>
      <w:tr w14:paraId="4E40070B">
        <w:tblPrEx>
          <w:tblCellMar>
            <w:top w:w="0" w:type="dxa"/>
            <w:left w:w="108" w:type="dxa"/>
            <w:bottom w:w="0" w:type="dxa"/>
            <w:right w:w="108" w:type="dxa"/>
          </w:tblCellMar>
        </w:tblPrEx>
        <w:trPr>
          <w:trHeight w:val="568" w:hRule="atLeast"/>
        </w:trPr>
        <w:tc>
          <w:tcPr>
            <w:tcW w:w="4407" w:type="dxa"/>
          </w:tcPr>
          <w:p w14:paraId="2C10C47B">
            <w:pPr>
              <w:spacing w:line="390" w:lineRule="exact"/>
              <w:rPr>
                <w:rFonts w:hint="eastAsia" w:ascii="仿宋_GB2312" w:hAnsi="仿宋_GB2312" w:eastAsia="仿宋_GB2312" w:cs="仿宋_GB2312"/>
                <w:sz w:val="28"/>
                <w:szCs w:val="28"/>
              </w:rPr>
            </w:pPr>
            <w:bookmarkStart w:id="143" w:name="_Hlk105064451"/>
            <w:r>
              <w:rPr>
                <w:rFonts w:hint="eastAsia" w:ascii="仿宋_GB2312" w:hAnsi="仿宋_GB2312" w:eastAsia="仿宋_GB2312" w:cs="仿宋_GB2312"/>
                <w:sz w:val="28"/>
                <w:szCs w:val="28"/>
              </w:rPr>
              <w:t>工程承包人：（盖章）</w:t>
            </w:r>
          </w:p>
        </w:tc>
        <w:tc>
          <w:tcPr>
            <w:tcW w:w="4407" w:type="dxa"/>
          </w:tcPr>
          <w:p w14:paraId="1A4E7089">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工程分包人：（盖章）</w:t>
            </w:r>
          </w:p>
        </w:tc>
      </w:tr>
      <w:tr w14:paraId="6DBB470E">
        <w:tblPrEx>
          <w:tblCellMar>
            <w:top w:w="0" w:type="dxa"/>
            <w:left w:w="108" w:type="dxa"/>
            <w:bottom w:w="0" w:type="dxa"/>
            <w:right w:w="108" w:type="dxa"/>
          </w:tblCellMar>
        </w:tblPrEx>
        <w:trPr>
          <w:trHeight w:val="562" w:hRule="atLeast"/>
        </w:trPr>
        <w:tc>
          <w:tcPr>
            <w:tcW w:w="4407" w:type="dxa"/>
          </w:tcPr>
          <w:p w14:paraId="095B1195">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住所地址：  </w:t>
            </w:r>
          </w:p>
        </w:tc>
        <w:tc>
          <w:tcPr>
            <w:tcW w:w="4407" w:type="dxa"/>
          </w:tcPr>
          <w:p w14:paraId="05BE39C7">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住所地址：                                              </w:t>
            </w:r>
          </w:p>
        </w:tc>
      </w:tr>
      <w:tr w14:paraId="0A076A72">
        <w:tblPrEx>
          <w:tblCellMar>
            <w:top w:w="0" w:type="dxa"/>
            <w:left w:w="108" w:type="dxa"/>
            <w:bottom w:w="0" w:type="dxa"/>
            <w:right w:w="108" w:type="dxa"/>
          </w:tblCellMar>
        </w:tblPrEx>
        <w:trPr>
          <w:trHeight w:val="570" w:hRule="atLeast"/>
        </w:trPr>
        <w:tc>
          <w:tcPr>
            <w:tcW w:w="4407" w:type="dxa"/>
          </w:tcPr>
          <w:p w14:paraId="44A1D407">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法定代表人： </w:t>
            </w:r>
          </w:p>
        </w:tc>
        <w:tc>
          <w:tcPr>
            <w:tcW w:w="4407" w:type="dxa"/>
          </w:tcPr>
          <w:p w14:paraId="0F4FF8C6">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法定代表人：  </w:t>
            </w:r>
          </w:p>
        </w:tc>
      </w:tr>
      <w:tr w14:paraId="6DC19D8D">
        <w:tblPrEx>
          <w:tblCellMar>
            <w:top w:w="0" w:type="dxa"/>
            <w:left w:w="108" w:type="dxa"/>
            <w:bottom w:w="0" w:type="dxa"/>
            <w:right w:w="108" w:type="dxa"/>
          </w:tblCellMar>
        </w:tblPrEx>
        <w:trPr>
          <w:trHeight w:val="564" w:hRule="atLeast"/>
        </w:trPr>
        <w:tc>
          <w:tcPr>
            <w:tcW w:w="4407" w:type="dxa"/>
          </w:tcPr>
          <w:p w14:paraId="598B58D3">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委托代理人：  </w:t>
            </w:r>
          </w:p>
        </w:tc>
        <w:tc>
          <w:tcPr>
            <w:tcW w:w="4407" w:type="dxa"/>
          </w:tcPr>
          <w:p w14:paraId="51DB8672">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委托代理人：  </w:t>
            </w:r>
          </w:p>
        </w:tc>
      </w:tr>
      <w:tr w14:paraId="739A166B">
        <w:tblPrEx>
          <w:tblCellMar>
            <w:top w:w="0" w:type="dxa"/>
            <w:left w:w="108" w:type="dxa"/>
            <w:bottom w:w="0" w:type="dxa"/>
            <w:right w:w="108" w:type="dxa"/>
          </w:tblCellMar>
        </w:tblPrEx>
        <w:trPr>
          <w:trHeight w:val="558" w:hRule="atLeast"/>
        </w:trPr>
        <w:tc>
          <w:tcPr>
            <w:tcW w:w="4407" w:type="dxa"/>
          </w:tcPr>
          <w:p w14:paraId="37C617C5">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电话：  </w:t>
            </w:r>
          </w:p>
        </w:tc>
        <w:tc>
          <w:tcPr>
            <w:tcW w:w="4407" w:type="dxa"/>
          </w:tcPr>
          <w:p w14:paraId="458AA99F">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电话： </w:t>
            </w:r>
          </w:p>
        </w:tc>
      </w:tr>
      <w:tr w14:paraId="2BDCC2E5">
        <w:tblPrEx>
          <w:tblCellMar>
            <w:top w:w="0" w:type="dxa"/>
            <w:left w:w="108" w:type="dxa"/>
            <w:bottom w:w="0" w:type="dxa"/>
            <w:right w:w="108" w:type="dxa"/>
          </w:tblCellMar>
        </w:tblPrEx>
        <w:trPr>
          <w:trHeight w:val="566" w:hRule="atLeast"/>
        </w:trPr>
        <w:tc>
          <w:tcPr>
            <w:tcW w:w="4407" w:type="dxa"/>
          </w:tcPr>
          <w:p w14:paraId="795B0905">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纳税人识别号：  </w:t>
            </w:r>
          </w:p>
        </w:tc>
        <w:tc>
          <w:tcPr>
            <w:tcW w:w="4407" w:type="dxa"/>
          </w:tcPr>
          <w:p w14:paraId="3475F24A">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纳税人识别号： </w:t>
            </w:r>
          </w:p>
        </w:tc>
      </w:tr>
      <w:tr w14:paraId="160D68BD">
        <w:tblPrEx>
          <w:tblCellMar>
            <w:top w:w="0" w:type="dxa"/>
            <w:left w:w="108" w:type="dxa"/>
            <w:bottom w:w="0" w:type="dxa"/>
            <w:right w:w="108" w:type="dxa"/>
          </w:tblCellMar>
        </w:tblPrEx>
        <w:trPr>
          <w:trHeight w:val="574" w:hRule="atLeast"/>
        </w:trPr>
        <w:tc>
          <w:tcPr>
            <w:tcW w:w="4407" w:type="dxa"/>
          </w:tcPr>
          <w:p w14:paraId="4F2DA601">
            <w:pPr>
              <w:tabs>
                <w:tab w:val="left" w:pos="1488"/>
              </w:tabs>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开户银行：  </w:t>
            </w:r>
          </w:p>
        </w:tc>
        <w:tc>
          <w:tcPr>
            <w:tcW w:w="4407" w:type="dxa"/>
          </w:tcPr>
          <w:p w14:paraId="254653E6">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开户银行：  </w:t>
            </w:r>
          </w:p>
        </w:tc>
      </w:tr>
      <w:tr w14:paraId="10710333">
        <w:tblPrEx>
          <w:tblCellMar>
            <w:top w:w="0" w:type="dxa"/>
            <w:left w:w="108" w:type="dxa"/>
            <w:bottom w:w="0" w:type="dxa"/>
            <w:right w:w="108" w:type="dxa"/>
          </w:tblCellMar>
        </w:tblPrEx>
        <w:trPr>
          <w:trHeight w:val="639" w:hRule="atLeast"/>
        </w:trPr>
        <w:tc>
          <w:tcPr>
            <w:tcW w:w="4407" w:type="dxa"/>
          </w:tcPr>
          <w:p w14:paraId="1B77C765">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账号：  </w:t>
            </w:r>
          </w:p>
        </w:tc>
        <w:tc>
          <w:tcPr>
            <w:tcW w:w="4407" w:type="dxa"/>
          </w:tcPr>
          <w:p w14:paraId="5D293206">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账号：  </w:t>
            </w:r>
          </w:p>
        </w:tc>
      </w:tr>
      <w:bookmarkEnd w:id="143"/>
    </w:tbl>
    <w:p w14:paraId="5A946809">
      <w:pPr>
        <w:jc w:val="center"/>
        <w:rPr>
          <w:rFonts w:hint="eastAsia" w:ascii="方正小标宋简体" w:hAnsi="方正小标宋简体" w:eastAsia="方正小标宋简体" w:cs="方正小标宋简体"/>
          <w:sz w:val="44"/>
          <w:szCs w:val="44"/>
        </w:rPr>
      </w:pPr>
    </w:p>
    <w:p w14:paraId="0A67F711">
      <w:pPr>
        <w:jc w:val="center"/>
        <w:rPr>
          <w:rFonts w:hint="eastAsia" w:ascii="方正小标宋简体" w:hAnsi="方正小标宋简体" w:eastAsia="方正小标宋简体" w:cs="方正小标宋简体"/>
          <w:sz w:val="44"/>
          <w:szCs w:val="44"/>
        </w:rPr>
      </w:pPr>
    </w:p>
    <w:p w14:paraId="517DF9D4">
      <w:pPr>
        <w:pStyle w:val="10"/>
        <w:rPr>
          <w:rFonts w:hint="eastAsia" w:ascii="方正小标宋简体" w:hAnsi="方正小标宋简体" w:eastAsia="方正小标宋简体" w:cs="方正小标宋简体"/>
          <w:sz w:val="44"/>
          <w:szCs w:val="44"/>
        </w:rPr>
      </w:pPr>
    </w:p>
    <w:p w14:paraId="68E60BC3">
      <w:pPr>
        <w:pStyle w:val="10"/>
        <w:rPr>
          <w:rFonts w:hint="eastAsia" w:ascii="方正小标宋简体" w:hAnsi="方正小标宋简体" w:eastAsia="方正小标宋简体" w:cs="方正小标宋简体"/>
          <w:sz w:val="44"/>
          <w:szCs w:val="44"/>
        </w:rPr>
      </w:pPr>
    </w:p>
    <w:p w14:paraId="5C5E1832">
      <w:pPr>
        <w:pStyle w:val="10"/>
        <w:rPr>
          <w:rFonts w:hint="eastAsia" w:ascii="方正小标宋简体" w:hAnsi="方正小标宋简体" w:eastAsia="方正小标宋简体" w:cs="方正小标宋简体"/>
          <w:sz w:val="44"/>
          <w:szCs w:val="44"/>
        </w:rPr>
      </w:pPr>
    </w:p>
    <w:p w14:paraId="20D326A2">
      <w:pPr>
        <w:spacing w:before="100" w:line="560" w:lineRule="exact"/>
        <w:jc w:val="center"/>
        <w:rPr>
          <w:b/>
          <w:bCs/>
          <w:color w:val="000000"/>
          <w:sz w:val="48"/>
          <w:szCs w:val="48"/>
        </w:rPr>
      </w:pPr>
    </w:p>
    <w:p w14:paraId="5F7DE0FA">
      <w:pPr>
        <w:spacing w:before="100" w:line="560" w:lineRule="exact"/>
        <w:jc w:val="center"/>
        <w:rPr>
          <w:b/>
          <w:bCs/>
          <w:color w:val="000000"/>
          <w:sz w:val="48"/>
          <w:szCs w:val="48"/>
        </w:rPr>
      </w:pPr>
    </w:p>
    <w:p w14:paraId="7B2CC5A3">
      <w:pPr>
        <w:rPr>
          <w:rFonts w:ascii="幼圆" w:eastAsia="幼圆"/>
          <w:sz w:val="32"/>
          <w:highlight w:val="yellow"/>
        </w:rPr>
        <w:sectPr>
          <w:footerReference r:id="rId5" w:type="default"/>
          <w:footnotePr>
            <w:numFmt w:val="decimalEnclosedCircleChinese"/>
            <w:numRestart w:val="eachPage"/>
          </w:footnotePr>
          <w:pgSz w:w="11906" w:h="16838"/>
          <w:pgMar w:top="1440" w:right="1803" w:bottom="1440" w:left="1803" w:header="851" w:footer="851" w:gutter="0"/>
          <w:pgNumType w:start="1"/>
          <w:cols w:space="720" w:num="1"/>
          <w:docGrid w:type="lines" w:linePitch="312" w:charSpace="0"/>
        </w:sectPr>
      </w:pPr>
      <w:r>
        <w:rPr>
          <w:rFonts w:hint="eastAsia" w:ascii="方正小标宋简体" w:hAnsi="方正小标宋简体" w:eastAsia="方正小标宋简体" w:cs="方正小标宋简体"/>
          <w:sz w:val="44"/>
          <w:szCs w:val="44"/>
        </w:rPr>
        <w:br w:type="page"/>
      </w:r>
    </w:p>
    <w:p w14:paraId="7FA6F0DA">
      <w:pPr>
        <w:widowControl/>
        <w:spacing w:line="360" w:lineRule="auto"/>
        <w:jc w:val="center"/>
        <w:rPr>
          <w:rFonts w:hint="eastAsia" w:ascii="仿宋_GB2312" w:hAnsi="仿宋" w:eastAsia="仿宋_GB2312"/>
          <w:b/>
          <w:bCs/>
          <w:color w:val="000000"/>
          <w:kern w:val="0"/>
          <w:sz w:val="36"/>
          <w:szCs w:val="36"/>
        </w:rPr>
      </w:pPr>
      <w:bookmarkStart w:id="144" w:name="_Hlk193487721"/>
      <w:r>
        <w:rPr>
          <w:rFonts w:hint="eastAsia" w:ascii="仿宋_GB2312" w:hAnsi="仿宋" w:eastAsia="仿宋_GB2312"/>
          <w:b/>
          <w:bCs/>
          <w:color w:val="000000"/>
          <w:kern w:val="0"/>
          <w:sz w:val="36"/>
          <w:szCs w:val="36"/>
        </w:rPr>
        <w:t>安全协议书</w:t>
      </w:r>
    </w:p>
    <w:p w14:paraId="4272D81A">
      <w:pPr>
        <w:ind w:right="630"/>
        <w:rPr>
          <w:rFonts w:hint="eastAsia" w:ascii="仿宋" w:hAnsi="仿宋" w:eastAsia="仿宋" w:cs="仿宋"/>
          <w:sz w:val="28"/>
          <w:szCs w:val="28"/>
        </w:rPr>
      </w:pPr>
    </w:p>
    <w:p w14:paraId="4AD92F7E">
      <w:pPr>
        <w:ind w:right="630"/>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b/>
          <w:bCs/>
          <w:sz w:val="28"/>
          <w:szCs w:val="28"/>
          <w:u w:val="single"/>
        </w:rPr>
        <w:t xml:space="preserve">                            </w:t>
      </w:r>
    </w:p>
    <w:p w14:paraId="08FFCAA5">
      <w:pPr>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80DD58F">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加强安全生产管理，保障生命财产安全，贯彻“安全第一、预防为主、综合治理”的安全生产方针，明确双方在施工中的安全责任及义务，确保施工安全，根据《中华人民共和国安全生产法》等相关法律规定，双方签订本协议，共同遵守。</w:t>
      </w:r>
    </w:p>
    <w:p w14:paraId="25C6C2F1">
      <w:pPr>
        <w:spacing w:line="360" w:lineRule="auto"/>
        <w:rPr>
          <w:rFonts w:hint="eastAsia" w:ascii="仿宋" w:hAnsi="仿宋" w:eastAsia="仿宋" w:cs="仿宋"/>
          <w:b/>
          <w:sz w:val="28"/>
          <w:szCs w:val="28"/>
        </w:rPr>
      </w:pPr>
      <w:r>
        <w:rPr>
          <w:rFonts w:hint="eastAsia" w:ascii="仿宋" w:hAnsi="仿宋" w:eastAsia="仿宋" w:cs="仿宋"/>
          <w:b/>
          <w:sz w:val="28"/>
          <w:szCs w:val="28"/>
        </w:rPr>
        <w:t>一、工程概况</w:t>
      </w:r>
    </w:p>
    <w:p w14:paraId="553151EB">
      <w:pPr>
        <w:spacing w:line="360" w:lineRule="auto"/>
        <w:ind w:left="-2" w:leftChars="-1" w:firstLine="562" w:firstLineChars="200"/>
        <w:rPr>
          <w:rFonts w:hint="eastAsia" w:ascii="仿宋" w:hAnsi="仿宋" w:eastAsia="仿宋" w:cs="仿宋"/>
          <w:sz w:val="28"/>
          <w:szCs w:val="28"/>
          <w:u w:val="single"/>
        </w:rPr>
      </w:pPr>
      <w:r>
        <w:rPr>
          <w:rFonts w:hint="eastAsia" w:ascii="仿宋" w:hAnsi="仿宋" w:eastAsia="仿宋" w:cs="仿宋"/>
          <w:b/>
          <w:bCs/>
          <w:sz w:val="28"/>
          <w:szCs w:val="28"/>
        </w:rPr>
        <w:t>工程名称</w:t>
      </w:r>
      <w:r>
        <w:rPr>
          <w:rFonts w:hint="eastAsia" w:ascii="仿宋" w:hAnsi="仿宋" w:eastAsia="仿宋" w:cs="仿宋"/>
          <w:sz w:val="28"/>
          <w:szCs w:val="28"/>
        </w:rPr>
        <w:t>：</w:t>
      </w:r>
      <w:r>
        <w:rPr>
          <w:rFonts w:hint="eastAsia" w:ascii="仿宋" w:hAnsi="仿宋" w:eastAsia="仿宋" w:cs="仿宋"/>
          <w:sz w:val="28"/>
          <w:szCs w:val="28"/>
          <w:u w:val="single"/>
        </w:rPr>
        <w:t xml:space="preserve">                            </w:t>
      </w:r>
    </w:p>
    <w:p w14:paraId="60209151">
      <w:pPr>
        <w:spacing w:line="360" w:lineRule="auto"/>
        <w:ind w:right="-512" w:rightChars="-244" w:firstLine="562" w:firstLineChars="200"/>
        <w:rPr>
          <w:rFonts w:hint="eastAsia" w:ascii="仿宋" w:hAnsi="仿宋" w:eastAsia="仿宋" w:cs="仿宋"/>
          <w:sz w:val="28"/>
          <w:szCs w:val="28"/>
        </w:rPr>
      </w:pPr>
      <w:r>
        <w:rPr>
          <w:rFonts w:hint="eastAsia" w:ascii="仿宋" w:hAnsi="仿宋" w:eastAsia="仿宋" w:cs="仿宋"/>
          <w:b/>
          <w:bCs/>
          <w:sz w:val="28"/>
          <w:szCs w:val="28"/>
        </w:rPr>
        <w:t>工程地址</w:t>
      </w:r>
      <w:r>
        <w:rPr>
          <w:rFonts w:hint="eastAsia" w:ascii="仿宋" w:hAnsi="仿宋" w:eastAsia="仿宋" w:cs="仿宋"/>
          <w:sz w:val="28"/>
          <w:szCs w:val="28"/>
        </w:rPr>
        <w:t>：</w:t>
      </w:r>
      <w:r>
        <w:rPr>
          <w:rFonts w:hint="eastAsia" w:ascii="仿宋" w:hAnsi="仿宋" w:eastAsia="仿宋" w:cs="仿宋"/>
          <w:sz w:val="28"/>
          <w:szCs w:val="28"/>
          <w:u w:val="single"/>
        </w:rPr>
        <w:t xml:space="preserve">                            </w:t>
      </w:r>
    </w:p>
    <w:p w14:paraId="5C73AE4F">
      <w:pPr>
        <w:spacing w:line="360" w:lineRule="auto"/>
        <w:ind w:firstLine="562" w:firstLineChars="200"/>
        <w:jc w:val="left"/>
        <w:rPr>
          <w:rFonts w:hint="eastAsia" w:ascii="仿宋" w:hAnsi="仿宋" w:eastAsia="仿宋" w:cs="仿宋"/>
          <w:sz w:val="28"/>
          <w:szCs w:val="28"/>
        </w:rPr>
      </w:pPr>
      <w:r>
        <w:rPr>
          <w:rFonts w:hint="eastAsia" w:ascii="仿宋" w:hAnsi="仿宋" w:eastAsia="仿宋" w:cs="仿宋"/>
          <w:b/>
          <w:bCs/>
          <w:sz w:val="28"/>
          <w:szCs w:val="28"/>
        </w:rPr>
        <w:t>分包范围：</w:t>
      </w:r>
      <w:r>
        <w:rPr>
          <w:rFonts w:hint="eastAsia" w:ascii="仿宋" w:hAnsi="仿宋" w:eastAsia="仿宋" w:cs="仿宋"/>
          <w:sz w:val="28"/>
          <w:szCs w:val="28"/>
          <w:u w:val="single"/>
        </w:rPr>
        <w:t>土方运输；具体详见工程量清单</w:t>
      </w:r>
      <w:r>
        <w:rPr>
          <w:rFonts w:hint="eastAsia" w:ascii="仿宋" w:hAnsi="仿宋" w:eastAsia="仿宋" w:cs="仿宋"/>
          <w:sz w:val="28"/>
          <w:szCs w:val="28"/>
        </w:rPr>
        <w:t>。</w:t>
      </w:r>
    </w:p>
    <w:p w14:paraId="5CF2FD64">
      <w:pPr>
        <w:spacing w:line="360" w:lineRule="auto"/>
        <w:rPr>
          <w:rFonts w:hint="eastAsia" w:ascii="仿宋" w:hAnsi="仿宋" w:eastAsia="仿宋" w:cs="仿宋"/>
          <w:b/>
          <w:sz w:val="28"/>
          <w:szCs w:val="28"/>
        </w:rPr>
      </w:pPr>
      <w:r>
        <w:rPr>
          <w:rFonts w:hint="eastAsia" w:ascii="仿宋" w:hAnsi="仿宋" w:eastAsia="仿宋" w:cs="仿宋"/>
          <w:b/>
          <w:sz w:val="28"/>
          <w:szCs w:val="28"/>
        </w:rPr>
        <w:t>二、双方责任</w:t>
      </w:r>
    </w:p>
    <w:p w14:paraId="70EFC65C">
      <w:pPr>
        <w:snapToGrid w:val="0"/>
        <w:spacing w:line="360" w:lineRule="auto"/>
        <w:rPr>
          <w:rFonts w:hint="eastAsia" w:ascii="仿宋" w:hAnsi="仿宋" w:eastAsia="仿宋" w:cs="仿宋"/>
          <w:sz w:val="28"/>
          <w:szCs w:val="28"/>
        </w:rPr>
      </w:pPr>
      <w:r>
        <w:rPr>
          <w:rFonts w:hint="eastAsia" w:ascii="仿宋" w:hAnsi="仿宋" w:eastAsia="仿宋" w:cs="仿宋"/>
          <w:sz w:val="28"/>
          <w:szCs w:val="28"/>
        </w:rPr>
        <w:t>（一）甲方</w:t>
      </w:r>
    </w:p>
    <w:p w14:paraId="399999E1">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1、认真贯彻国家、地方关于生产、消防安全工作的方针、政策，严格执行有关安全生产的法律法规，并在施工中监督、检查乙方施工人员严格遵守、认真执行。</w:t>
      </w:r>
    </w:p>
    <w:p w14:paraId="54B11A4A">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2、检查乙方相关执照、证件是否有效。</w:t>
      </w:r>
    </w:p>
    <w:p w14:paraId="294A62A6">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3、设置安全管理专职或兼职安全管理人员，建立安全责任制或定期安全检查制度等。</w:t>
      </w:r>
    </w:p>
    <w:p w14:paraId="25B74503">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4、甲方有责任对乙方施工中存在的安全问题进行监督检查，有权下达安全隐患整改指令或者命令其停止继续作业。</w:t>
      </w:r>
    </w:p>
    <w:p w14:paraId="02DF3B3E">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5、施工前，甲方应对乙方的管理、施工人员进行安全进场教育，介绍有关安全管理规章制度和要求，并督促乙方施工人员严格遵守、认真执行。</w:t>
      </w:r>
    </w:p>
    <w:p w14:paraId="48F06103">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6、根据工程的具体特点，向乙方做安全技术交底，对地下管线和障碍物等也应向乙方详细交底，并督促乙方执行安全保护措施。</w:t>
      </w:r>
    </w:p>
    <w:p w14:paraId="48C67F5E">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施工期间，甲方指派专人负责联系、检查、督促乙方执行有关安全生产情况，发现存在安全事故隐患的，应当要求乙方及时整改，情况严重的，应当要求乙方暂时停工，并向有关部门报告。甲方安全管理人员有权对乙方违反安全生产的部门及人员进行处罚。</w:t>
      </w:r>
    </w:p>
    <w:p w14:paraId="02110A60">
      <w:pPr>
        <w:snapToGrid w:val="0"/>
        <w:spacing w:line="360" w:lineRule="auto"/>
        <w:rPr>
          <w:rFonts w:hint="eastAsia" w:ascii="仿宋" w:hAnsi="仿宋" w:eastAsia="仿宋" w:cs="仿宋"/>
          <w:sz w:val="28"/>
          <w:szCs w:val="28"/>
        </w:rPr>
      </w:pPr>
      <w:r>
        <w:rPr>
          <w:rFonts w:hint="eastAsia" w:ascii="仿宋" w:hAnsi="仿宋" w:eastAsia="仿宋" w:cs="仿宋"/>
          <w:sz w:val="28"/>
          <w:szCs w:val="28"/>
        </w:rPr>
        <w:t>（二）乙方：</w:t>
      </w:r>
    </w:p>
    <w:p w14:paraId="62C7B474">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1、乙方施工期间对施工现场的施工人员人身安全负总责。</w:t>
      </w:r>
    </w:p>
    <w:p w14:paraId="2262AD19">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2、按甲方的要求编制施工组织设计，并制定有针对性的安全施工技术措施，严格按施工组织设计和有关安全要求施工。</w:t>
      </w:r>
    </w:p>
    <w:p w14:paraId="3E97523A">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对现场施工人员进行环境及安全教育、考核，经甲方考试合格后方可上岗，并向甲方提供现场施工人员的名单及身份证、务工证、特殊工种上岗证等各类证件复印件备案，乙方取得甲方核发的教育安全合格证后方可正式开工，乙方在现场的管理人员及施工人员均须持证上岗，特殊作业人员必须持有效操作证书上岗作业。</w:t>
      </w:r>
      <w:r>
        <w:rPr>
          <w:rFonts w:hint="eastAsia" w:ascii="仿宋" w:hAnsi="仿宋" w:eastAsia="仿宋" w:cs="仿宋"/>
          <w:b/>
          <w:sz w:val="28"/>
          <w:szCs w:val="28"/>
        </w:rPr>
        <w:t>所有进场车辆证件、保险齐全</w:t>
      </w:r>
      <w:r>
        <w:rPr>
          <w:rFonts w:hint="eastAsia" w:ascii="仿宋" w:hAnsi="仿宋" w:eastAsia="仿宋" w:cs="仿宋"/>
          <w:sz w:val="28"/>
          <w:szCs w:val="28"/>
        </w:rPr>
        <w:t>。</w:t>
      </w:r>
    </w:p>
    <w:p w14:paraId="4E3A531C">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4、乙方在施工期间必须严格遵守甲方的安全生产各项规定，接受甲方的督促、检查和指导，对于甲方安全管理人员检查出的安全隐患，乙方必须在规定的期限内进行整改。</w:t>
      </w:r>
    </w:p>
    <w:p w14:paraId="2E93436C">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5、施工暂时停工时，乙方要做好安全防护。</w:t>
      </w:r>
    </w:p>
    <w:p w14:paraId="628E4F70">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6、乙方在施工过程中，在发生危及人身安全的紧急情况下，有权立即停止作业，并撤离危险区域。</w:t>
      </w:r>
    </w:p>
    <w:p w14:paraId="088A674A">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7、乙方必须使用合格的防护用具和机械设备，使用的设备和机具必须有年检合格证；乙方施工人员进入现场，必须佩戴安全帽及相关安全器具。</w:t>
      </w:r>
    </w:p>
    <w:p w14:paraId="40A92F11">
      <w:pPr>
        <w:tabs>
          <w:tab w:val="left" w:pos="780"/>
        </w:tabs>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严格执行各类防火、防暴制度，施工现场制定严格的安全用电及安全防火措施，易燃、易爆场所严禁吸烟及动用明火，施工现场应配备相应数量的灭火器材和消防设施，消防器材不准挪作他用，电焊、气割作业应按规定办理动火审批手续。</w:t>
      </w:r>
    </w:p>
    <w:p w14:paraId="357F66F5">
      <w:pPr>
        <w:tabs>
          <w:tab w:val="left" w:pos="780"/>
        </w:tabs>
        <w:snapToGrid w:val="0"/>
        <w:spacing w:line="360" w:lineRule="auto"/>
        <w:ind w:firstLine="544" w:firstLineChars="200"/>
        <w:rPr>
          <w:rFonts w:hint="eastAsia" w:ascii="仿宋" w:hAnsi="仿宋" w:eastAsia="仿宋" w:cs="仿宋"/>
          <w:spacing w:val="-4"/>
          <w:sz w:val="28"/>
          <w:szCs w:val="28"/>
        </w:rPr>
      </w:pPr>
      <w:r>
        <w:rPr>
          <w:rFonts w:hint="eastAsia" w:ascii="仿宋" w:hAnsi="仿宋" w:eastAsia="仿宋" w:cs="仿宋"/>
          <w:spacing w:val="-4"/>
          <w:sz w:val="28"/>
          <w:szCs w:val="28"/>
        </w:rPr>
        <w:t>9、施工中可能导致损害的毗邻建筑物、构筑物和地下管线、特殊的设施及设备等做好专项防护。</w:t>
      </w:r>
    </w:p>
    <w:p w14:paraId="739D9F4A">
      <w:pPr>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三、事故处理</w:t>
      </w:r>
    </w:p>
    <w:p w14:paraId="00F4D55E">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在施工中由于乙方安全管理不善发生人员伤亡、火灾、机损等安全事故，均有乙方承担责任，甲方不负担任何责任。由此给甲方财产造成损失的，乙方按评估价赔偿。</w:t>
      </w:r>
    </w:p>
    <w:p w14:paraId="4BAA37D0">
      <w:pPr>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四、处罚</w:t>
      </w:r>
    </w:p>
    <w:p w14:paraId="5C2BF709">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乙方因违反有关规定而被上级职能部门处理的，罚款全部由乙方承担。</w:t>
      </w:r>
    </w:p>
    <w:p w14:paraId="1DB0FCB9">
      <w:pPr>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五、其他约定</w:t>
      </w:r>
    </w:p>
    <w:p w14:paraId="29DC00A0">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本协议经双方签字或盖章后生效，工程完工经甲方验收合格后终止。</w:t>
      </w:r>
    </w:p>
    <w:p w14:paraId="7810D589">
      <w:pPr>
        <w:tabs>
          <w:tab w:val="left" w:pos="2310"/>
        </w:tabs>
        <w:spacing w:line="600" w:lineRule="exact"/>
        <w:rPr>
          <w:rFonts w:hint="eastAsia" w:ascii="仿宋_GB2312" w:hAnsi="仿宋_GB2312" w:eastAsia="仿宋_GB2312" w:cs="仿宋_GB2312"/>
          <w:b/>
          <w:spacing w:val="-22"/>
          <w:sz w:val="28"/>
        </w:rPr>
      </w:pPr>
      <w:r>
        <w:rPr>
          <w:rFonts w:ascii="仿宋_GB2312" w:hAnsi="仿宋_GB2312" w:eastAsia="仿宋_GB2312" w:cs="仿宋_GB2312"/>
          <w:b/>
          <w:spacing w:val="-22"/>
          <w:sz w:val="28"/>
        </w:rPr>
        <w:t>甲方（公章）：</w:t>
      </w:r>
      <w:r>
        <w:rPr>
          <w:rFonts w:ascii="仿宋_GB2312" w:hAnsi="仿宋_GB2312" w:eastAsia="仿宋_GB2312" w:cs="仿宋_GB2312"/>
          <w:b/>
          <w:sz w:val="28"/>
        </w:rPr>
        <w:t xml:space="preserve">                      乙方（公章）：</w:t>
      </w:r>
    </w:p>
    <w:p w14:paraId="38DCD9B0">
      <w:pPr>
        <w:tabs>
          <w:tab w:val="left" w:pos="4620"/>
          <w:tab w:val="left" w:pos="4830"/>
        </w:tabs>
        <w:spacing w:line="600" w:lineRule="exact"/>
        <w:rPr>
          <w:rFonts w:hint="eastAsia" w:ascii="仿宋_GB2312" w:hAnsi="仿宋_GB2312" w:eastAsia="仿宋_GB2312" w:cs="仿宋_GB2312"/>
          <w:b/>
          <w:sz w:val="28"/>
        </w:rPr>
      </w:pPr>
      <w:r>
        <w:rPr>
          <w:rFonts w:ascii="仿宋_GB2312" w:hAnsi="仿宋_GB2312" w:eastAsia="仿宋_GB2312" w:cs="仿宋_GB2312"/>
          <w:b/>
          <w:sz w:val="28"/>
        </w:rPr>
        <w:t>法定代表人（签字）：              法定代表人（签字）：</w:t>
      </w:r>
    </w:p>
    <w:p w14:paraId="0B980497">
      <w:pPr>
        <w:spacing w:line="600" w:lineRule="exact"/>
        <w:rPr>
          <w:rFonts w:hint="eastAsia" w:ascii="仿宋_GB2312" w:hAnsi="仿宋_GB2312" w:eastAsia="仿宋_GB2312" w:cs="仿宋_GB2312"/>
          <w:b/>
          <w:sz w:val="28"/>
        </w:rPr>
      </w:pPr>
      <w:r>
        <w:rPr>
          <w:rFonts w:ascii="仿宋_GB2312" w:hAnsi="仿宋_GB2312" w:eastAsia="仿宋_GB2312" w:cs="仿宋_GB2312"/>
          <w:b/>
          <w:sz w:val="28"/>
        </w:rPr>
        <w:t>或委托代理人（签字）：            或委托代理人（签字）：</w:t>
      </w:r>
    </w:p>
    <w:p w14:paraId="61F4CB8D">
      <w:pPr>
        <w:tabs>
          <w:tab w:val="left" w:pos="4725"/>
        </w:tabs>
        <w:spacing w:line="600" w:lineRule="exact"/>
        <w:rPr>
          <w:b/>
          <w:snapToGrid w:val="0"/>
          <w:kern w:val="0"/>
          <w:sz w:val="28"/>
          <w:szCs w:val="28"/>
        </w:rPr>
      </w:pPr>
      <w:r>
        <w:rPr>
          <w:rFonts w:ascii="仿宋_GB2312" w:hAnsi="仿宋_GB2312" w:eastAsia="仿宋_GB2312" w:cs="仿宋_GB2312"/>
          <w:b/>
          <w:sz w:val="28"/>
        </w:rPr>
        <w:t>20  年  月  日                    20  年  月  日</w:t>
      </w:r>
    </w:p>
    <w:p w14:paraId="0731D0FE">
      <w:pPr>
        <w:rPr>
          <w:rFonts w:hint="eastAsia" w:ascii="仿宋_GB2312" w:hAnsi="仿宋" w:eastAsia="仿宋_GB2312"/>
          <w:b/>
          <w:bCs/>
          <w:color w:val="000000"/>
          <w:kern w:val="0"/>
          <w:sz w:val="36"/>
          <w:szCs w:val="36"/>
          <w:highlight w:val="yellow"/>
        </w:rPr>
      </w:pPr>
      <w:r>
        <w:rPr>
          <w:rFonts w:hint="eastAsia" w:ascii="仿宋_GB2312" w:hAnsi="仿宋" w:eastAsia="仿宋_GB2312"/>
          <w:b/>
          <w:bCs/>
          <w:color w:val="000000"/>
          <w:kern w:val="0"/>
          <w:sz w:val="36"/>
          <w:szCs w:val="36"/>
          <w:highlight w:val="yellow"/>
        </w:rPr>
        <w:br w:type="page"/>
      </w:r>
    </w:p>
    <w:p w14:paraId="1D2B61EA">
      <w:pPr>
        <w:widowControl/>
        <w:spacing w:line="360" w:lineRule="auto"/>
        <w:ind w:firstLine="643"/>
        <w:jc w:val="left"/>
        <w:rPr>
          <w:rFonts w:hint="eastAsia" w:ascii="仿宋_GB2312" w:hAnsi="仿宋" w:eastAsia="仿宋_GB2312"/>
          <w:b/>
          <w:bCs/>
          <w:color w:val="000000"/>
          <w:kern w:val="0"/>
          <w:sz w:val="36"/>
          <w:szCs w:val="36"/>
        </w:rPr>
      </w:pPr>
    </w:p>
    <w:p w14:paraId="245805FB">
      <w:pPr>
        <w:widowControl/>
        <w:spacing w:line="360" w:lineRule="auto"/>
        <w:ind w:firstLine="643"/>
        <w:jc w:val="center"/>
        <w:rPr>
          <w:rFonts w:hint="eastAsia" w:ascii="仿宋_GB2312" w:hAnsi="仿宋" w:eastAsia="仿宋_GB2312"/>
          <w:b/>
          <w:bCs/>
          <w:color w:val="000000"/>
          <w:kern w:val="0"/>
          <w:sz w:val="36"/>
          <w:szCs w:val="36"/>
          <w:highlight w:val="yellow"/>
        </w:rPr>
      </w:pPr>
      <w:r>
        <w:rPr>
          <w:rFonts w:hint="eastAsia" w:ascii="仿宋_GB2312" w:hAnsi="仿宋" w:eastAsia="仿宋_GB2312"/>
          <w:b/>
          <w:bCs/>
          <w:color w:val="000000"/>
          <w:kern w:val="0"/>
          <w:sz w:val="36"/>
          <w:szCs w:val="36"/>
        </w:rPr>
        <w:t>廉政协议</w:t>
      </w:r>
    </w:p>
    <w:p w14:paraId="5FEA3BF5">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为促进双方诚信经营、廉洁从业，防范商业贿赂，保护国家、集体和当事人的合法权益，根据国家有关法律法规和安徽省、合肥市廉政建设的规定，</w:t>
      </w:r>
      <w:r>
        <w:rPr>
          <w:rFonts w:hint="eastAsia" w:ascii="仿宋_GB2312" w:hAnsi="仿宋" w:eastAsia="仿宋_GB2312"/>
          <w:color w:val="000000"/>
          <w:kern w:val="0"/>
          <w:sz w:val="28"/>
          <w:szCs w:val="28"/>
          <w:u w:val="single"/>
        </w:rPr>
        <w:t xml:space="preserve">       （</w:t>
      </w:r>
      <w:r>
        <w:rPr>
          <w:rFonts w:hint="eastAsia" w:ascii="仿宋_GB2312" w:hAnsi="仿宋" w:eastAsia="仿宋_GB2312"/>
          <w:color w:val="000000"/>
          <w:kern w:val="0"/>
          <w:sz w:val="28"/>
          <w:szCs w:val="28"/>
        </w:rPr>
        <w:t>以下称甲方）与</w:t>
      </w:r>
      <w:r>
        <w:rPr>
          <w:rFonts w:hint="eastAsia" w:ascii="仿宋_GB2312" w:hAnsi="仿宋" w:eastAsia="仿宋_GB2312"/>
          <w:color w:val="000000"/>
          <w:kern w:val="0"/>
          <w:sz w:val="28"/>
          <w:szCs w:val="28"/>
          <w:u w:val="single"/>
        </w:rPr>
        <w:t xml:space="preserve">         （</w:t>
      </w:r>
      <w:r>
        <w:rPr>
          <w:rFonts w:hint="eastAsia" w:ascii="仿宋_GB2312" w:hAnsi="仿宋" w:eastAsia="仿宋_GB2312"/>
          <w:color w:val="000000"/>
          <w:kern w:val="0"/>
          <w:sz w:val="28"/>
          <w:szCs w:val="28"/>
        </w:rPr>
        <w:t>以下称乙方），特此订立本协议共同遵照执行。</w:t>
      </w:r>
    </w:p>
    <w:p w14:paraId="380B14AC">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第一条 甲乙双方的权利和义务</w:t>
      </w:r>
    </w:p>
    <w:p w14:paraId="1C24EF31">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4FF8E312">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（二）严格执行</w:t>
      </w:r>
      <w:r>
        <w:rPr>
          <w:rFonts w:hint="eastAsia" w:ascii="仿宋_GB2312" w:hAnsi="仿宋" w:eastAsia="仿宋_GB2312"/>
          <w:color w:val="000000"/>
          <w:kern w:val="0"/>
          <w:sz w:val="28"/>
          <w:szCs w:val="28"/>
          <w:u w:val="single"/>
        </w:rPr>
        <w:t xml:space="preserve">                             </w:t>
      </w:r>
      <w:r>
        <w:rPr>
          <w:rFonts w:hint="eastAsia" w:ascii="仿宋_GB2312" w:hAnsi="仿宋" w:eastAsia="仿宋_GB2312"/>
          <w:color w:val="000000"/>
          <w:kern w:val="0"/>
          <w:sz w:val="28"/>
          <w:szCs w:val="28"/>
        </w:rPr>
        <w:t>的合同要求，自觉履行合同约定的相关义务。</w:t>
      </w:r>
    </w:p>
    <w:p w14:paraId="1A2C1331">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（三）在业务活动中坚持公开、公正、诚信、透明的原则，不得损害国家、集体利益。</w:t>
      </w:r>
    </w:p>
    <w:p w14:paraId="27E8F6A0">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（四）建立健全廉政制度，开展廉政教育，公布举报电话，监督并认真查处违法违纪行为。</w:t>
      </w:r>
    </w:p>
    <w:p w14:paraId="2F4A17F7">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（五）发现对方在业务活动中有违反廉政规定的行为，应及时提醒对方纠正。情节严重的，应向其上级有关部门举报、建议给予处理，并有权要求告知处理结果。</w:t>
      </w:r>
    </w:p>
    <w:p w14:paraId="48862F47">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第二条 甲方的义务</w:t>
      </w:r>
    </w:p>
    <w:p w14:paraId="5ED09ABF">
      <w:pPr>
        <w:widowControl/>
        <w:spacing w:line="360" w:lineRule="auto"/>
        <w:ind w:firstLine="700" w:firstLineChars="250"/>
        <w:jc w:val="left"/>
        <w:rPr>
          <w:rFonts w:hint="eastAsia" w:ascii="仿宋_GB2312" w:hAnsi="仿宋" w:eastAsia="仿宋_GB2312"/>
          <w:color w:val="000000"/>
          <w:spacing w:val="-6"/>
          <w:kern w:val="0"/>
          <w:sz w:val="28"/>
          <w:szCs w:val="28"/>
        </w:rPr>
      </w:pPr>
      <w:r>
        <w:rPr>
          <w:rFonts w:hint="eastAsia" w:ascii="仿宋_GB2312" w:hAnsi="仿宋" w:eastAsia="仿宋_GB2312"/>
          <w:color w:val="000000"/>
          <w:kern w:val="0"/>
          <w:sz w:val="28"/>
          <w:szCs w:val="28"/>
        </w:rPr>
        <w:t>（一）甲方及其工作人员不得索要或接受乙方的礼金、有价证券和贵重物品，</w:t>
      </w:r>
      <w:r>
        <w:rPr>
          <w:rFonts w:hint="eastAsia" w:ascii="仿宋_GB2312" w:hAnsi="仿宋" w:eastAsia="仿宋_GB2312"/>
          <w:color w:val="000000"/>
          <w:spacing w:val="-6"/>
          <w:kern w:val="0"/>
          <w:sz w:val="28"/>
          <w:szCs w:val="28"/>
        </w:rPr>
        <w:t>不得在乙方报销任何应由甲方单位或个人支付的费用等。</w:t>
      </w:r>
    </w:p>
    <w:p w14:paraId="03CD7712">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7C5D8D4E">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（三） 甲方及其工作人员不得要求或者接受乙方为其住房装修、婚丧嫁娶活动、配偶子女工作安排以及出国出境、旅游等提供方便等。</w:t>
      </w:r>
    </w:p>
    <w:p w14:paraId="2C02EA24">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（四） 甲方工作人员不得在乙方有股权关联的企业兼职，不得向乙方介绍家属或者亲友从事与甲方业务有关的经济活动。</w:t>
      </w:r>
    </w:p>
    <w:p w14:paraId="06DD23D9">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（五）甲方工作人员不得以明显低于市场的价格向乙方购买房屋、汽车等物品；不得以明显高于市场的价格向乙方出售房屋、汽车等物品；不得以其他交易形式非法收受请托人财物。</w:t>
      </w:r>
    </w:p>
    <w:p w14:paraId="6CB4FB38">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（六）甲方工作人员不得利用职务之便收受乙方以回扣、手续费、加班费、咨询费、劳务费、协调费、辛苦费等各种名义给予或赠送的钱物。</w:t>
      </w:r>
    </w:p>
    <w:p w14:paraId="761686CE">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（七）甲方工作人员不得接受乙方给予或赠送的干股或红利。</w:t>
      </w:r>
    </w:p>
    <w:p w14:paraId="593E8997">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（八）甲方任何人不得以个人的名义向乙方推荐设备、部件等供货商以及其他合作单位。</w:t>
      </w:r>
    </w:p>
    <w:p w14:paraId="4F315054">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第三条 乙方的义务</w:t>
      </w:r>
    </w:p>
    <w:p w14:paraId="31E384A0">
      <w:pPr>
        <w:widowControl/>
        <w:spacing w:line="360" w:lineRule="auto"/>
        <w:ind w:firstLine="700" w:firstLineChars="25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（一）乙方不得以任何理由向甲方及其工作人员行贿或馈赠礼金、有价证券、贵重礼品。</w:t>
      </w:r>
    </w:p>
    <w:p w14:paraId="0063CD5D">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（二）乙方不得以任何名义为甲方及其工作人员报销应由甲方单位或个人支付的任何费用。</w:t>
      </w:r>
    </w:p>
    <w:p w14:paraId="0FCA1718">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（三）乙方不得以任何理由安排甲方工作人员参加可能影响相关业务公开、公正、公平性的宴请及娱乐活动。</w:t>
      </w:r>
    </w:p>
    <w:p w14:paraId="56E4B0F0">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（四）乙方不得为甲方单位和个人购置或提供通讯工具和高档办公用品等物品，也不得为甲方提供与工作无关的房屋、汽车等。</w:t>
      </w:r>
    </w:p>
    <w:p w14:paraId="1E64B865">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（五）乙方不得与甲方工作人员就合同中的质量、数量、价格、工程量、验收等条款进行私下商谈或者达成默契。</w:t>
      </w:r>
    </w:p>
    <w:p w14:paraId="1902B224">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（六）乙方不得以回扣、手续费、加班费、咨询费、劳务费、协调费、辛苦费等各种名义向甲方工作人员给予或赠送钱物。</w:t>
      </w:r>
    </w:p>
    <w:p w14:paraId="1778D271">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（七）乙方不得向甲方工作人员提供干股或红利。</w:t>
      </w:r>
    </w:p>
    <w:p w14:paraId="112DF7D8">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（八）乙方须按</w:t>
      </w:r>
      <w:r>
        <w:rPr>
          <w:rFonts w:hint="eastAsia" w:ascii="仿宋_GB2312" w:hAnsi="仿宋" w:eastAsia="仿宋_GB2312"/>
          <w:color w:val="000000"/>
          <w:kern w:val="0"/>
          <w:sz w:val="28"/>
          <w:szCs w:val="28"/>
          <w:u w:val="single"/>
        </w:rPr>
        <w:t xml:space="preserve">    /     </w:t>
      </w:r>
      <w:r>
        <w:rPr>
          <w:rFonts w:hint="eastAsia" w:ascii="仿宋_GB2312" w:hAnsi="仿宋" w:eastAsia="仿宋_GB2312"/>
          <w:color w:val="000000"/>
          <w:kern w:val="0"/>
          <w:sz w:val="28"/>
          <w:szCs w:val="28"/>
        </w:rPr>
        <w:t>专项纪检监察工作组（如有）要求开展相关工作。</w:t>
      </w:r>
    </w:p>
    <w:p w14:paraId="2B89D530">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第四条 违约责任</w:t>
      </w:r>
    </w:p>
    <w:p w14:paraId="61C4635C">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4624A0DB">
      <w:pPr>
        <w:widowControl/>
        <w:spacing w:line="560" w:lineRule="exact"/>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甲方投诉联系部门：</w:t>
      </w:r>
      <w:r>
        <w:rPr>
          <w:rFonts w:hint="eastAsia" w:ascii="仿宋_GB2312" w:hAnsi="仿宋" w:eastAsia="仿宋_GB2312"/>
          <w:color w:val="000000"/>
          <w:kern w:val="0"/>
          <w:sz w:val="28"/>
          <w:szCs w:val="28"/>
          <w:u w:val="single"/>
        </w:rPr>
        <w:t xml:space="preserve">                          </w:t>
      </w:r>
      <w:r>
        <w:rPr>
          <w:rFonts w:hint="eastAsia" w:ascii="仿宋_GB2312" w:hAnsi="仿宋" w:eastAsia="仿宋_GB2312"/>
          <w:color w:val="000000"/>
          <w:kern w:val="0"/>
          <w:sz w:val="28"/>
          <w:szCs w:val="28"/>
        </w:rPr>
        <w:t>，联系电话：</w:t>
      </w:r>
      <w:r>
        <w:rPr>
          <w:rFonts w:hint="eastAsia" w:ascii="仿宋_GB2312" w:hAnsi="仿宋" w:eastAsia="仿宋_GB2312"/>
          <w:color w:val="000000"/>
          <w:kern w:val="0"/>
          <w:sz w:val="28"/>
          <w:szCs w:val="28"/>
          <w:u w:val="single"/>
        </w:rPr>
        <w:t xml:space="preserve">            </w:t>
      </w:r>
      <w:r>
        <w:rPr>
          <w:rFonts w:hint="eastAsia" w:ascii="仿宋_GB2312" w:hAnsi="仿宋" w:eastAsia="仿宋_GB2312"/>
          <w:color w:val="000000"/>
          <w:kern w:val="0"/>
          <w:sz w:val="28"/>
          <w:szCs w:val="28"/>
        </w:rPr>
        <w:t>。</w:t>
      </w:r>
    </w:p>
    <w:p w14:paraId="063BC2A3">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（二）乙方及其工作人员违反本协议第一、三条规定。根据具体情节和造成的后果，甲方有权对乙方采取以下一种或多种处理办法：</w:t>
      </w:r>
    </w:p>
    <w:p w14:paraId="3DA688DC">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 xml:space="preserve">1. 全额收取乙方合同履约保证金不予退还； </w:t>
      </w:r>
    </w:p>
    <w:p w14:paraId="38DD28C1">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2. 追究乙方其他违约责任；</w:t>
      </w:r>
    </w:p>
    <w:p w14:paraId="17713CDF">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3. 终止或解除双方已签订的包括本合同在内的所有合同；</w:t>
      </w:r>
    </w:p>
    <w:p w14:paraId="6E38F8CC">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甲方作出的处理意见，乙方应无条件接受并承担给甲方造成的损失，全额返还通过不正当手段从甲方获取的非法所得，并承担相应的法律责任。</w:t>
      </w:r>
    </w:p>
    <w:p w14:paraId="1AAD9662">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第五条 双方约定</w:t>
      </w:r>
    </w:p>
    <w:p w14:paraId="106EF337">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本协议由双方或双方上级单位负责监督。可由甲方或甲方上级单位的纪检监察部门约请乙方或乙方上级单位的纪检监察部门对本协议履行情况进行检查，提出在本协议规定范围内的裁定意见。</w:t>
      </w:r>
    </w:p>
    <w:p w14:paraId="0B752EA5">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 xml:space="preserve">第六条  本协议有效期为甲乙双方签署之日起至合同终止。  </w:t>
      </w:r>
    </w:p>
    <w:p w14:paraId="298B231E">
      <w:pPr>
        <w:widowControl/>
        <w:spacing w:line="360" w:lineRule="auto"/>
        <w:ind w:firstLine="560" w:firstLineChars="200"/>
        <w:jc w:val="left"/>
        <w:rPr>
          <w:rFonts w:hint="eastAsia" w:ascii="仿宋_GB2312" w:hAnsi="仿宋" w:eastAsia="仿宋_GB2312"/>
          <w:color w:val="000000"/>
          <w:kern w:val="0"/>
          <w:sz w:val="28"/>
          <w:szCs w:val="28"/>
        </w:rPr>
      </w:pPr>
      <w:r>
        <w:rPr>
          <w:rFonts w:hint="eastAsia" w:ascii="仿宋_GB2312" w:hAnsi="仿宋" w:eastAsia="仿宋_GB2312"/>
          <w:color w:val="000000"/>
          <w:kern w:val="0"/>
          <w:sz w:val="28"/>
          <w:szCs w:val="28"/>
        </w:rPr>
        <w:t xml:space="preserve">第七条  本协议作为合同的附件，与本合同具有同等法律效力。 </w:t>
      </w:r>
    </w:p>
    <w:p w14:paraId="59CF120F">
      <w:pPr>
        <w:pStyle w:val="10"/>
      </w:pPr>
    </w:p>
    <w:p w14:paraId="77F4B352">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 xml:space="preserve">甲方（盖章）： </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乙方（盖章）：</w:t>
      </w:r>
      <w:r>
        <w:rPr>
          <w:rFonts w:hint="eastAsia" w:ascii="仿宋_GB2312" w:hAnsi="仿宋" w:eastAsia="仿宋_GB2312"/>
          <w:color w:val="000000"/>
          <w:kern w:val="0"/>
          <w:sz w:val="24"/>
          <w:szCs w:val="24"/>
          <w:u w:val="single"/>
        </w:rPr>
        <w:t xml:space="preserve">             </w:t>
      </w:r>
    </w:p>
    <w:p w14:paraId="019043E2">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法定代表人或                          法定代表人或</w:t>
      </w:r>
    </w:p>
    <w:p w14:paraId="1688E895">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授权代表：</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(职务)        授权代表：</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(职务)</w:t>
      </w:r>
    </w:p>
    <w:p w14:paraId="1D4F4771">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姓名：</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姓名：</w:t>
      </w:r>
      <w:r>
        <w:rPr>
          <w:rFonts w:hint="eastAsia" w:ascii="仿宋_GB2312" w:hAnsi="仿宋" w:eastAsia="仿宋_GB2312"/>
          <w:color w:val="000000"/>
          <w:kern w:val="0"/>
          <w:sz w:val="24"/>
          <w:szCs w:val="24"/>
          <w:u w:val="single"/>
        </w:rPr>
        <w:t xml:space="preserve">             </w:t>
      </w:r>
    </w:p>
    <w:p w14:paraId="05747895">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签字：</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签字：</w:t>
      </w:r>
      <w:r>
        <w:rPr>
          <w:rFonts w:hint="eastAsia" w:ascii="仿宋_GB2312" w:hAnsi="仿宋" w:eastAsia="仿宋_GB2312"/>
          <w:color w:val="000000"/>
          <w:kern w:val="0"/>
          <w:sz w:val="24"/>
          <w:szCs w:val="24"/>
          <w:u w:val="single"/>
        </w:rPr>
        <w:t xml:space="preserve">             </w:t>
      </w:r>
    </w:p>
    <w:p w14:paraId="6042A2A3">
      <w:pPr>
        <w:widowControl/>
        <w:spacing w:line="360" w:lineRule="auto"/>
        <w:ind w:firstLine="480" w:firstLineChars="200"/>
        <w:jc w:val="left"/>
        <w:rPr>
          <w:rFonts w:hint="eastAsia" w:ascii="仿宋_GB2312" w:hAnsi="仿宋" w:eastAsia="仿宋_GB2312"/>
          <w:color w:val="000000"/>
          <w:kern w:val="0"/>
          <w:sz w:val="24"/>
          <w:szCs w:val="24"/>
        </w:rPr>
      </w:pPr>
    </w:p>
    <w:p w14:paraId="776639BD">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廉政监督联系人                        廉政监督联系人</w:t>
      </w:r>
    </w:p>
    <w:p w14:paraId="27C20D2F">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姓名：</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姓名：</w:t>
      </w:r>
      <w:r>
        <w:rPr>
          <w:rFonts w:hint="eastAsia" w:ascii="仿宋_GB2312" w:hAnsi="仿宋" w:eastAsia="仿宋_GB2312"/>
          <w:color w:val="000000"/>
          <w:kern w:val="0"/>
          <w:sz w:val="24"/>
          <w:szCs w:val="24"/>
          <w:u w:val="single"/>
        </w:rPr>
        <w:t xml:space="preserve">                     </w:t>
      </w:r>
    </w:p>
    <w:p w14:paraId="5A8091EC">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签字：</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签字：</w:t>
      </w:r>
      <w:r>
        <w:rPr>
          <w:rFonts w:hint="eastAsia" w:ascii="仿宋_GB2312" w:hAnsi="仿宋" w:eastAsia="仿宋_GB2312"/>
          <w:color w:val="000000"/>
          <w:kern w:val="0"/>
          <w:sz w:val="24"/>
          <w:szCs w:val="24"/>
          <w:u w:val="single"/>
        </w:rPr>
        <w:t xml:space="preserve">                     </w:t>
      </w:r>
    </w:p>
    <w:p w14:paraId="116B0060">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电话：</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电话：</w:t>
      </w:r>
      <w:r>
        <w:rPr>
          <w:rFonts w:hint="eastAsia" w:ascii="仿宋_GB2312" w:hAnsi="仿宋" w:eastAsia="仿宋_GB2312"/>
          <w:color w:val="000000"/>
          <w:kern w:val="0"/>
          <w:sz w:val="24"/>
          <w:szCs w:val="24"/>
          <w:u w:val="single"/>
        </w:rPr>
        <w:t xml:space="preserve">                     </w:t>
      </w:r>
    </w:p>
    <w:p w14:paraId="50FA1D18">
      <w:pPr>
        <w:widowControl/>
        <w:spacing w:line="360" w:lineRule="auto"/>
        <w:ind w:firstLine="480" w:firstLineChars="200"/>
        <w:jc w:val="left"/>
        <w:rPr>
          <w:rFonts w:hint="eastAsia" w:ascii="仿宋_GB2312" w:hAnsi="仿宋" w:eastAsia="仿宋_GB2312"/>
          <w:color w:val="000000"/>
          <w:kern w:val="0"/>
          <w:sz w:val="24"/>
          <w:szCs w:val="24"/>
        </w:rPr>
      </w:pPr>
      <w:r>
        <w:rPr>
          <w:rFonts w:hint="eastAsia" w:ascii="仿宋_GB2312" w:hAnsi="仿宋" w:eastAsia="仿宋_GB2312"/>
          <w:color w:val="000000"/>
          <w:kern w:val="0"/>
          <w:sz w:val="24"/>
          <w:szCs w:val="24"/>
        </w:rPr>
        <w:t>地址：</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地址：</w:t>
      </w:r>
      <w:r>
        <w:rPr>
          <w:rFonts w:hint="eastAsia" w:ascii="仿宋_GB2312" w:hAnsi="仿宋" w:eastAsia="仿宋_GB2312"/>
          <w:color w:val="000000"/>
          <w:kern w:val="0"/>
          <w:sz w:val="24"/>
          <w:szCs w:val="24"/>
          <w:u w:val="single"/>
        </w:rPr>
        <w:t xml:space="preserve">                     </w:t>
      </w:r>
    </w:p>
    <w:p w14:paraId="263B00BB">
      <w:pPr>
        <w:widowControl/>
        <w:spacing w:line="360" w:lineRule="auto"/>
        <w:ind w:firstLine="480" w:firstLineChars="200"/>
        <w:jc w:val="left"/>
        <w:rPr>
          <w:rFonts w:hint="eastAsia" w:ascii="仿宋_GB2312" w:hAnsi="仿宋" w:eastAsia="仿宋_GB2312"/>
          <w:color w:val="000000"/>
          <w:kern w:val="0"/>
          <w:sz w:val="24"/>
          <w:szCs w:val="24"/>
          <w:u w:val="single"/>
        </w:rPr>
      </w:pPr>
      <w:r>
        <w:rPr>
          <w:rFonts w:hint="eastAsia" w:ascii="仿宋_GB2312" w:hAnsi="仿宋" w:eastAsia="仿宋_GB2312"/>
          <w:color w:val="000000"/>
          <w:kern w:val="0"/>
          <w:sz w:val="24"/>
          <w:szCs w:val="24"/>
        </w:rPr>
        <w:t>日期：</w:t>
      </w:r>
      <w:r>
        <w:rPr>
          <w:rFonts w:hint="eastAsia" w:ascii="仿宋_GB2312" w:hAnsi="仿宋" w:eastAsia="仿宋_GB2312"/>
          <w:color w:val="000000"/>
          <w:kern w:val="0"/>
          <w:sz w:val="24"/>
          <w:szCs w:val="24"/>
          <w:u w:val="single"/>
        </w:rPr>
        <w:t xml:space="preserve">                       </w:t>
      </w:r>
      <w:r>
        <w:rPr>
          <w:rFonts w:hint="eastAsia" w:ascii="仿宋_GB2312" w:hAnsi="仿宋" w:eastAsia="仿宋_GB2312"/>
          <w:color w:val="000000"/>
          <w:kern w:val="0"/>
          <w:sz w:val="24"/>
          <w:szCs w:val="24"/>
        </w:rPr>
        <w:t xml:space="preserve">         日期：</w:t>
      </w:r>
      <w:r>
        <w:rPr>
          <w:rFonts w:hint="eastAsia" w:ascii="仿宋_GB2312" w:hAnsi="仿宋" w:eastAsia="仿宋_GB2312"/>
          <w:color w:val="000000"/>
          <w:kern w:val="0"/>
          <w:sz w:val="24"/>
          <w:szCs w:val="24"/>
          <w:u w:val="single"/>
        </w:rPr>
        <w:t xml:space="preserve">                     </w:t>
      </w:r>
      <w:bookmarkEnd w:id="144"/>
    </w:p>
    <w:p w14:paraId="4097C5B3">
      <w:r>
        <w:rPr>
          <w:rFonts w:hint="eastAsia"/>
        </w:rPr>
        <w:br w:type="page"/>
      </w:r>
      <w:bookmarkEnd w:id="112"/>
      <w:bookmarkEnd w:id="113"/>
      <w:bookmarkEnd w:id="114"/>
      <w:bookmarkEnd w:id="115"/>
    </w:p>
    <w:p w14:paraId="19882D9C">
      <w:pPr>
        <w:pStyle w:val="21"/>
        <w:rPr>
          <w:rStyle w:val="27"/>
          <w:b/>
          <w:bCs/>
        </w:rPr>
      </w:pPr>
      <w:bookmarkStart w:id="145" w:name="bookmark203"/>
      <w:bookmarkStart w:id="146" w:name="_Toc507438170"/>
      <w:bookmarkStart w:id="147" w:name="_Toc526774262"/>
      <w:bookmarkStart w:id="148" w:name="_Toc522892881"/>
      <w:bookmarkStart w:id="149" w:name="_Toc36119751"/>
      <w:bookmarkStart w:id="150" w:name="_Toc29610"/>
      <w:bookmarkStart w:id="151" w:name="_Toc25603"/>
      <w:bookmarkStart w:id="152" w:name="_Toc526774269"/>
      <w:bookmarkStart w:id="153" w:name="_Toc491993009"/>
      <w:bookmarkStart w:id="154" w:name="_Toc36119759"/>
      <w:bookmarkStart w:id="155" w:name="_Toc492224973"/>
      <w:bookmarkStart w:id="156" w:name="_Toc507438177"/>
      <w:r>
        <w:rPr>
          <w:rStyle w:val="27"/>
          <w:b/>
          <w:bCs/>
        </w:rPr>
        <w:t>第五章</w:t>
      </w:r>
      <w:r>
        <w:rPr>
          <w:rStyle w:val="27"/>
          <w:rFonts w:hint="eastAsia"/>
          <w:b/>
          <w:bCs/>
        </w:rPr>
        <w:t xml:space="preserve"> </w:t>
      </w:r>
      <w:bookmarkEnd w:id="145"/>
      <w:bookmarkEnd w:id="146"/>
      <w:bookmarkEnd w:id="147"/>
      <w:bookmarkEnd w:id="148"/>
      <w:bookmarkStart w:id="157" w:name="bookmark204"/>
      <w:r>
        <w:rPr>
          <w:rStyle w:val="27"/>
          <w:rFonts w:hint="eastAsia"/>
          <w:b/>
          <w:bCs/>
        </w:rPr>
        <w:t>计价</w:t>
      </w:r>
      <w:r>
        <w:rPr>
          <w:rStyle w:val="27"/>
          <w:b/>
          <w:bCs/>
        </w:rPr>
        <w:t>依据及工程造价确认</w:t>
      </w:r>
      <w:bookmarkEnd w:id="149"/>
      <w:bookmarkEnd w:id="150"/>
    </w:p>
    <w:bookmarkEnd w:id="151"/>
    <w:bookmarkEnd w:id="157"/>
    <w:p w14:paraId="184A7B63">
      <w:pPr>
        <w:pStyle w:val="3"/>
        <w:rPr>
          <w:rFonts w:ascii="Times New Roman" w:hAnsi="Times New Roman" w:eastAsia="黑体"/>
          <w:b w:val="0"/>
          <w:snapToGrid w:val="0"/>
          <w:sz w:val="28"/>
          <w:szCs w:val="28"/>
        </w:rPr>
      </w:pPr>
      <w:bookmarkStart w:id="158" w:name="_Toc16765"/>
      <w:bookmarkStart w:id="159" w:name="_Toc30556"/>
      <w:bookmarkStart w:id="160" w:name="_Toc19540929"/>
      <w:bookmarkStart w:id="161" w:name="_Toc24207"/>
      <w:bookmarkStart w:id="162" w:name="_Toc36119752"/>
      <w:r>
        <w:rPr>
          <w:rFonts w:hint="eastAsia" w:ascii="Times New Roman" w:hAnsi="Times New Roman" w:eastAsia="黑体"/>
          <w:b w:val="0"/>
          <w:snapToGrid w:val="0"/>
          <w:sz w:val="28"/>
          <w:szCs w:val="28"/>
        </w:rPr>
        <w:t>1. 计价依据</w:t>
      </w:r>
      <w:bookmarkEnd w:id="158"/>
      <w:bookmarkEnd w:id="159"/>
      <w:bookmarkEnd w:id="160"/>
      <w:bookmarkEnd w:id="161"/>
      <w:bookmarkEnd w:id="162"/>
    </w:p>
    <w:p w14:paraId="7C6C43E7">
      <w:pPr>
        <w:spacing w:line="400" w:lineRule="exact"/>
        <w:ind w:firstLine="420" w:firstLineChars="200"/>
        <w:rPr>
          <w:szCs w:val="24"/>
        </w:rPr>
      </w:pPr>
      <w:r>
        <w:rPr>
          <w:rFonts w:hint="eastAsia"/>
          <w:szCs w:val="24"/>
        </w:rPr>
        <w:t>1.1 计价依据的确定符合国家法律法规、现行有关标准与规范，工程所在地的省、市工程定额和工程造价的规定以及工程造价信息要求。</w:t>
      </w:r>
    </w:p>
    <w:p w14:paraId="6075E4EF">
      <w:pPr>
        <w:spacing w:line="400" w:lineRule="exact"/>
        <w:ind w:firstLine="420" w:firstLineChars="200"/>
        <w:rPr>
          <w:szCs w:val="24"/>
        </w:rPr>
      </w:pPr>
      <w:r>
        <w:rPr>
          <w:rFonts w:hint="eastAsia"/>
          <w:szCs w:val="24"/>
        </w:rPr>
        <w:t>1.2 2018版《安徽省建设工程费用定额》安全文明施工费费率属不可竞争费率，执行《</w:t>
      </w:r>
      <w:r>
        <w:rPr>
          <w:szCs w:val="24"/>
        </w:rPr>
        <w:t xml:space="preserve">关于调整安徽省建设工程不可竞争费构成及计费标准的通知 </w:t>
      </w:r>
      <w:r>
        <w:rPr>
          <w:rFonts w:hint="eastAsia"/>
          <w:szCs w:val="24"/>
        </w:rPr>
        <w:t>》</w:t>
      </w:r>
      <w:r>
        <w:rPr>
          <w:szCs w:val="24"/>
        </w:rPr>
        <w:t>建标〔2021〕42 号</w:t>
      </w:r>
      <w:r>
        <w:rPr>
          <w:rFonts w:hint="eastAsia"/>
          <w:szCs w:val="24"/>
        </w:rPr>
        <w:t xml:space="preserve">，具体如下： </w:t>
      </w:r>
    </w:p>
    <w:tbl>
      <w:tblPr>
        <w:tblStyle w:val="17"/>
        <w:tblW w:w="0" w:type="auto"/>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850"/>
        <w:gridCol w:w="1024"/>
        <w:gridCol w:w="1021"/>
        <w:gridCol w:w="1021"/>
        <w:gridCol w:w="1021"/>
        <w:gridCol w:w="1021"/>
        <w:gridCol w:w="1021"/>
        <w:gridCol w:w="1021"/>
      </w:tblGrid>
      <w:tr w14:paraId="5D377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1701" w:type="dxa"/>
            <w:gridSpan w:val="2"/>
            <w:vMerge w:val="restart"/>
            <w:tcBorders>
              <w:top w:val="single" w:color="auto" w:sz="4" w:space="0"/>
              <w:left w:val="single" w:color="auto" w:sz="4" w:space="0"/>
              <w:bottom w:val="single" w:color="auto" w:sz="4" w:space="0"/>
              <w:right w:val="single" w:color="auto" w:sz="4" w:space="0"/>
            </w:tcBorders>
            <w:vAlign w:val="center"/>
          </w:tcPr>
          <w:p w14:paraId="25DC93F2">
            <w:pPr>
              <w:adjustRightInd w:val="0"/>
              <w:snapToGrid w:val="0"/>
              <w:jc w:val="center"/>
              <w:rPr>
                <w:szCs w:val="21"/>
              </w:rPr>
            </w:pPr>
            <w:r>
              <w:rPr>
                <w:rFonts w:hint="eastAsia"/>
                <w:szCs w:val="21"/>
              </w:rPr>
              <w:t>项目名称</w:t>
            </w:r>
          </w:p>
        </w:tc>
        <w:tc>
          <w:tcPr>
            <w:tcW w:w="1024" w:type="dxa"/>
            <w:vMerge w:val="restart"/>
            <w:tcBorders>
              <w:top w:val="single" w:color="auto" w:sz="4" w:space="0"/>
              <w:left w:val="single" w:color="auto" w:sz="4" w:space="0"/>
              <w:bottom w:val="single" w:color="auto" w:sz="4" w:space="0"/>
              <w:right w:val="single" w:color="auto" w:sz="4" w:space="0"/>
            </w:tcBorders>
            <w:vAlign w:val="center"/>
          </w:tcPr>
          <w:p w14:paraId="1A246CB4">
            <w:pPr>
              <w:adjustRightInd w:val="0"/>
              <w:snapToGrid w:val="0"/>
              <w:jc w:val="center"/>
              <w:rPr>
                <w:szCs w:val="21"/>
              </w:rPr>
            </w:pPr>
            <w:r>
              <w:rPr>
                <w:rFonts w:hint="eastAsia"/>
                <w:szCs w:val="21"/>
              </w:rPr>
              <w:t>计费基础</w:t>
            </w:r>
          </w:p>
        </w:tc>
        <w:tc>
          <w:tcPr>
            <w:tcW w:w="6126" w:type="dxa"/>
            <w:gridSpan w:val="6"/>
            <w:tcBorders>
              <w:top w:val="single" w:color="auto" w:sz="4" w:space="0"/>
              <w:left w:val="single" w:color="auto" w:sz="4" w:space="0"/>
              <w:bottom w:val="single" w:color="auto" w:sz="4" w:space="0"/>
              <w:right w:val="single" w:color="auto" w:sz="4" w:space="0"/>
            </w:tcBorders>
            <w:vAlign w:val="center"/>
          </w:tcPr>
          <w:p w14:paraId="026AFB4E">
            <w:pPr>
              <w:adjustRightInd w:val="0"/>
              <w:snapToGrid w:val="0"/>
              <w:jc w:val="center"/>
              <w:rPr>
                <w:szCs w:val="21"/>
              </w:rPr>
            </w:pPr>
            <w:r>
              <w:rPr>
                <w:rFonts w:hint="eastAsia"/>
                <w:szCs w:val="21"/>
              </w:rPr>
              <w:t>费率（%）</w:t>
            </w:r>
          </w:p>
        </w:tc>
      </w:tr>
      <w:tr w14:paraId="7A7B6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14:paraId="34FD0A49">
            <w:pPr>
              <w:widowControl/>
              <w:snapToGrid w:val="0"/>
              <w:jc w:val="left"/>
              <w:rPr>
                <w:szCs w:val="21"/>
              </w:rPr>
            </w:pPr>
          </w:p>
        </w:tc>
        <w:tc>
          <w:tcPr>
            <w:tcW w:w="1024" w:type="dxa"/>
            <w:vMerge w:val="continue"/>
            <w:tcBorders>
              <w:top w:val="single" w:color="auto" w:sz="4" w:space="0"/>
              <w:left w:val="single" w:color="auto" w:sz="4" w:space="0"/>
              <w:bottom w:val="single" w:color="auto" w:sz="4" w:space="0"/>
              <w:right w:val="single" w:color="auto" w:sz="4" w:space="0"/>
            </w:tcBorders>
            <w:vAlign w:val="center"/>
          </w:tcPr>
          <w:p w14:paraId="6A8060D1">
            <w:pPr>
              <w:widowControl/>
              <w:snapToGrid w:val="0"/>
              <w:jc w:val="left"/>
              <w:rPr>
                <w:szCs w:val="21"/>
              </w:rPr>
            </w:pPr>
          </w:p>
        </w:tc>
        <w:tc>
          <w:tcPr>
            <w:tcW w:w="1021" w:type="dxa"/>
            <w:tcBorders>
              <w:top w:val="single" w:color="auto" w:sz="4" w:space="0"/>
              <w:left w:val="single" w:color="auto" w:sz="4" w:space="0"/>
              <w:bottom w:val="single" w:color="auto" w:sz="4" w:space="0"/>
              <w:right w:val="single" w:color="auto" w:sz="4" w:space="0"/>
            </w:tcBorders>
            <w:vAlign w:val="center"/>
          </w:tcPr>
          <w:p w14:paraId="5A0F2B02">
            <w:pPr>
              <w:adjustRightInd w:val="0"/>
              <w:snapToGrid w:val="0"/>
              <w:jc w:val="center"/>
              <w:rPr>
                <w:szCs w:val="21"/>
              </w:rPr>
            </w:pPr>
            <w:r>
              <w:rPr>
                <w:rFonts w:hint="eastAsia"/>
                <w:szCs w:val="21"/>
              </w:rPr>
              <w:t>建筑工程</w:t>
            </w:r>
          </w:p>
        </w:tc>
        <w:tc>
          <w:tcPr>
            <w:tcW w:w="1021" w:type="dxa"/>
            <w:tcBorders>
              <w:top w:val="single" w:color="auto" w:sz="4" w:space="0"/>
              <w:left w:val="single" w:color="auto" w:sz="4" w:space="0"/>
              <w:bottom w:val="single" w:color="auto" w:sz="4" w:space="0"/>
              <w:right w:val="single" w:color="auto" w:sz="4" w:space="0"/>
            </w:tcBorders>
            <w:vAlign w:val="center"/>
          </w:tcPr>
          <w:p w14:paraId="12F1D9F3">
            <w:pPr>
              <w:adjustRightInd w:val="0"/>
              <w:snapToGrid w:val="0"/>
              <w:jc w:val="center"/>
              <w:rPr>
                <w:szCs w:val="21"/>
              </w:rPr>
            </w:pPr>
            <w:r>
              <w:rPr>
                <w:rFonts w:hint="eastAsia"/>
                <w:szCs w:val="21"/>
              </w:rPr>
              <w:t>装饰装修工程</w:t>
            </w:r>
          </w:p>
        </w:tc>
        <w:tc>
          <w:tcPr>
            <w:tcW w:w="1021" w:type="dxa"/>
            <w:tcBorders>
              <w:top w:val="single" w:color="auto" w:sz="4" w:space="0"/>
              <w:left w:val="single" w:color="auto" w:sz="4" w:space="0"/>
              <w:bottom w:val="single" w:color="auto" w:sz="4" w:space="0"/>
              <w:right w:val="single" w:color="auto" w:sz="4" w:space="0"/>
            </w:tcBorders>
            <w:vAlign w:val="center"/>
          </w:tcPr>
          <w:p w14:paraId="6342FA2B">
            <w:pPr>
              <w:adjustRightInd w:val="0"/>
              <w:snapToGrid w:val="0"/>
              <w:jc w:val="center"/>
              <w:rPr>
                <w:szCs w:val="21"/>
              </w:rPr>
            </w:pPr>
            <w:r>
              <w:rPr>
                <w:rFonts w:hint="eastAsia"/>
                <w:szCs w:val="21"/>
              </w:rPr>
              <w:t>安装工程</w:t>
            </w:r>
          </w:p>
        </w:tc>
        <w:tc>
          <w:tcPr>
            <w:tcW w:w="1021" w:type="dxa"/>
            <w:tcBorders>
              <w:top w:val="single" w:color="auto" w:sz="4" w:space="0"/>
              <w:left w:val="single" w:color="auto" w:sz="4" w:space="0"/>
              <w:bottom w:val="single" w:color="auto" w:sz="4" w:space="0"/>
              <w:right w:val="single" w:color="auto" w:sz="4" w:space="0"/>
            </w:tcBorders>
            <w:vAlign w:val="center"/>
          </w:tcPr>
          <w:p w14:paraId="1B843AFC">
            <w:pPr>
              <w:adjustRightInd w:val="0"/>
              <w:snapToGrid w:val="0"/>
              <w:jc w:val="center"/>
              <w:rPr>
                <w:szCs w:val="21"/>
              </w:rPr>
            </w:pPr>
            <w:r>
              <w:rPr>
                <w:rFonts w:hint="eastAsia"/>
                <w:szCs w:val="21"/>
              </w:rPr>
              <w:t>市政工程</w:t>
            </w:r>
          </w:p>
        </w:tc>
        <w:tc>
          <w:tcPr>
            <w:tcW w:w="1021" w:type="dxa"/>
            <w:tcBorders>
              <w:top w:val="single" w:color="auto" w:sz="4" w:space="0"/>
              <w:left w:val="single" w:color="auto" w:sz="4" w:space="0"/>
              <w:bottom w:val="single" w:color="auto" w:sz="4" w:space="0"/>
              <w:right w:val="single" w:color="auto" w:sz="4" w:space="0"/>
            </w:tcBorders>
            <w:vAlign w:val="center"/>
          </w:tcPr>
          <w:p w14:paraId="3AD79696">
            <w:pPr>
              <w:adjustRightInd w:val="0"/>
              <w:snapToGrid w:val="0"/>
              <w:jc w:val="center"/>
              <w:rPr>
                <w:szCs w:val="21"/>
              </w:rPr>
            </w:pPr>
            <w:r>
              <w:rPr>
                <w:rFonts w:hint="eastAsia"/>
                <w:szCs w:val="21"/>
              </w:rPr>
              <w:t>园林绿化工程</w:t>
            </w:r>
          </w:p>
        </w:tc>
        <w:tc>
          <w:tcPr>
            <w:tcW w:w="1021" w:type="dxa"/>
            <w:tcBorders>
              <w:top w:val="single" w:color="auto" w:sz="4" w:space="0"/>
              <w:left w:val="single" w:color="auto" w:sz="4" w:space="0"/>
              <w:bottom w:val="single" w:color="auto" w:sz="4" w:space="0"/>
              <w:right w:val="single" w:color="auto" w:sz="4" w:space="0"/>
            </w:tcBorders>
            <w:vAlign w:val="center"/>
          </w:tcPr>
          <w:p w14:paraId="7BB8C571">
            <w:pPr>
              <w:adjustRightInd w:val="0"/>
              <w:snapToGrid w:val="0"/>
              <w:jc w:val="center"/>
              <w:rPr>
                <w:szCs w:val="21"/>
              </w:rPr>
            </w:pPr>
            <w:r>
              <w:rPr>
                <w:rFonts w:hint="eastAsia"/>
                <w:szCs w:val="21"/>
              </w:rPr>
              <w:t>仿古建筑工程</w:t>
            </w:r>
          </w:p>
        </w:tc>
      </w:tr>
      <w:tr w14:paraId="75A9A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1" w:type="dxa"/>
            <w:vMerge w:val="restart"/>
            <w:tcBorders>
              <w:top w:val="single" w:color="auto" w:sz="4" w:space="0"/>
              <w:left w:val="single" w:color="auto" w:sz="4" w:space="0"/>
              <w:right w:val="single" w:color="auto" w:sz="4" w:space="0"/>
            </w:tcBorders>
            <w:vAlign w:val="center"/>
          </w:tcPr>
          <w:p w14:paraId="6C564D91">
            <w:pPr>
              <w:adjustRightInd w:val="0"/>
              <w:snapToGrid w:val="0"/>
              <w:jc w:val="center"/>
              <w:rPr>
                <w:szCs w:val="21"/>
              </w:rPr>
            </w:pPr>
            <w:r>
              <w:rPr>
                <w:rFonts w:hint="eastAsia"/>
                <w:szCs w:val="21"/>
              </w:rPr>
              <w:t>环境保护费</w:t>
            </w:r>
          </w:p>
        </w:tc>
        <w:tc>
          <w:tcPr>
            <w:tcW w:w="850" w:type="dxa"/>
            <w:tcBorders>
              <w:top w:val="single" w:color="auto" w:sz="4" w:space="0"/>
              <w:left w:val="single" w:color="auto" w:sz="4" w:space="0"/>
              <w:bottom w:val="single" w:color="auto" w:sz="4" w:space="0"/>
              <w:right w:val="single" w:color="auto" w:sz="4" w:space="0"/>
            </w:tcBorders>
            <w:vAlign w:val="center"/>
          </w:tcPr>
          <w:p w14:paraId="45EA9C33">
            <w:pPr>
              <w:adjustRightInd w:val="0"/>
              <w:snapToGrid w:val="0"/>
              <w:jc w:val="center"/>
              <w:rPr>
                <w:szCs w:val="21"/>
              </w:rPr>
            </w:pPr>
            <w:r>
              <w:rPr>
                <w:rFonts w:hint="eastAsia"/>
                <w:szCs w:val="21"/>
              </w:rPr>
              <w:t>市区</w:t>
            </w:r>
          </w:p>
        </w:tc>
        <w:tc>
          <w:tcPr>
            <w:tcW w:w="1024" w:type="dxa"/>
            <w:vMerge w:val="restart"/>
            <w:tcBorders>
              <w:top w:val="single" w:color="auto" w:sz="4" w:space="0"/>
              <w:left w:val="single" w:color="auto" w:sz="4" w:space="0"/>
              <w:bottom w:val="single" w:color="auto" w:sz="4" w:space="0"/>
              <w:right w:val="single" w:color="auto" w:sz="4" w:space="0"/>
            </w:tcBorders>
            <w:vAlign w:val="center"/>
          </w:tcPr>
          <w:p w14:paraId="5477395A">
            <w:pPr>
              <w:adjustRightInd w:val="0"/>
              <w:snapToGrid w:val="0"/>
              <w:jc w:val="center"/>
              <w:rPr>
                <w:szCs w:val="21"/>
              </w:rPr>
            </w:pPr>
            <w:r>
              <w:rPr>
                <w:rFonts w:hint="eastAsia"/>
                <w:szCs w:val="21"/>
              </w:rPr>
              <w:t>定额人工费+定额机械费</w:t>
            </w:r>
          </w:p>
        </w:tc>
        <w:tc>
          <w:tcPr>
            <w:tcW w:w="1021" w:type="dxa"/>
            <w:tcBorders>
              <w:top w:val="single" w:color="auto" w:sz="4" w:space="0"/>
              <w:left w:val="single" w:color="auto" w:sz="4" w:space="0"/>
              <w:bottom w:val="single" w:color="auto" w:sz="4" w:space="0"/>
              <w:right w:val="single" w:color="auto" w:sz="4" w:space="0"/>
            </w:tcBorders>
            <w:vAlign w:val="center"/>
          </w:tcPr>
          <w:p w14:paraId="7CE00FF4">
            <w:pPr>
              <w:adjustRightInd w:val="0"/>
              <w:snapToGrid w:val="0"/>
              <w:jc w:val="center"/>
              <w:rPr>
                <w:szCs w:val="21"/>
              </w:rPr>
            </w:pPr>
            <w:r>
              <w:rPr>
                <w:szCs w:val="21"/>
              </w:rPr>
              <w:t>3.28</w:t>
            </w:r>
          </w:p>
        </w:tc>
        <w:tc>
          <w:tcPr>
            <w:tcW w:w="1021" w:type="dxa"/>
            <w:tcBorders>
              <w:top w:val="single" w:color="auto" w:sz="4" w:space="0"/>
              <w:left w:val="single" w:color="auto" w:sz="4" w:space="0"/>
              <w:bottom w:val="single" w:color="auto" w:sz="4" w:space="0"/>
              <w:right w:val="single" w:color="auto" w:sz="4" w:space="0"/>
            </w:tcBorders>
            <w:vAlign w:val="center"/>
          </w:tcPr>
          <w:p w14:paraId="3AD0F0D0">
            <w:pPr>
              <w:adjustRightInd w:val="0"/>
              <w:snapToGrid w:val="0"/>
              <w:jc w:val="center"/>
              <w:rPr>
                <w:szCs w:val="21"/>
              </w:rPr>
            </w:pPr>
            <w:r>
              <w:rPr>
                <w:szCs w:val="21"/>
              </w:rPr>
              <w:t>2.6</w:t>
            </w:r>
          </w:p>
        </w:tc>
        <w:tc>
          <w:tcPr>
            <w:tcW w:w="1021" w:type="dxa"/>
            <w:tcBorders>
              <w:top w:val="single" w:color="auto" w:sz="4" w:space="0"/>
              <w:left w:val="single" w:color="auto" w:sz="4" w:space="0"/>
              <w:bottom w:val="single" w:color="auto" w:sz="4" w:space="0"/>
              <w:right w:val="single" w:color="auto" w:sz="4" w:space="0"/>
            </w:tcBorders>
            <w:vAlign w:val="center"/>
          </w:tcPr>
          <w:p w14:paraId="7CB32810">
            <w:pPr>
              <w:adjustRightInd w:val="0"/>
              <w:snapToGrid w:val="0"/>
              <w:jc w:val="center"/>
              <w:rPr>
                <w:szCs w:val="21"/>
              </w:rPr>
            </w:pPr>
            <w:r>
              <w:rPr>
                <w:szCs w:val="21"/>
              </w:rPr>
              <w:t>1.78</w:t>
            </w:r>
          </w:p>
        </w:tc>
        <w:tc>
          <w:tcPr>
            <w:tcW w:w="1021" w:type="dxa"/>
            <w:tcBorders>
              <w:top w:val="single" w:color="auto" w:sz="4" w:space="0"/>
              <w:left w:val="single" w:color="auto" w:sz="4" w:space="0"/>
              <w:bottom w:val="single" w:color="auto" w:sz="4" w:space="0"/>
              <w:right w:val="single" w:color="auto" w:sz="4" w:space="0"/>
            </w:tcBorders>
            <w:vAlign w:val="center"/>
          </w:tcPr>
          <w:p w14:paraId="0014D91D">
            <w:pPr>
              <w:adjustRightInd w:val="0"/>
              <w:snapToGrid w:val="0"/>
              <w:jc w:val="center"/>
              <w:rPr>
                <w:szCs w:val="21"/>
              </w:rPr>
            </w:pPr>
            <w:r>
              <w:rPr>
                <w:szCs w:val="21"/>
              </w:rPr>
              <w:t>3.57</w:t>
            </w:r>
          </w:p>
        </w:tc>
        <w:tc>
          <w:tcPr>
            <w:tcW w:w="1021" w:type="dxa"/>
            <w:tcBorders>
              <w:top w:val="single" w:color="auto" w:sz="4" w:space="0"/>
              <w:left w:val="single" w:color="auto" w:sz="4" w:space="0"/>
              <w:bottom w:val="single" w:color="auto" w:sz="4" w:space="0"/>
              <w:right w:val="single" w:color="auto" w:sz="4" w:space="0"/>
            </w:tcBorders>
            <w:vAlign w:val="center"/>
          </w:tcPr>
          <w:p w14:paraId="3AD9E535">
            <w:pPr>
              <w:adjustRightInd w:val="0"/>
              <w:snapToGrid w:val="0"/>
              <w:jc w:val="center"/>
              <w:rPr>
                <w:szCs w:val="21"/>
              </w:rPr>
            </w:pPr>
            <w:r>
              <w:rPr>
                <w:szCs w:val="21"/>
              </w:rPr>
              <w:t>1.75</w:t>
            </w:r>
          </w:p>
        </w:tc>
        <w:tc>
          <w:tcPr>
            <w:tcW w:w="1021" w:type="dxa"/>
            <w:tcBorders>
              <w:top w:val="single" w:color="auto" w:sz="4" w:space="0"/>
              <w:left w:val="single" w:color="auto" w:sz="4" w:space="0"/>
              <w:bottom w:val="single" w:color="auto" w:sz="4" w:space="0"/>
              <w:right w:val="single" w:color="auto" w:sz="4" w:space="0"/>
            </w:tcBorders>
            <w:vAlign w:val="center"/>
          </w:tcPr>
          <w:p w14:paraId="543AFA85">
            <w:pPr>
              <w:adjustRightInd w:val="0"/>
              <w:snapToGrid w:val="0"/>
              <w:jc w:val="center"/>
              <w:rPr>
                <w:szCs w:val="21"/>
              </w:rPr>
            </w:pPr>
            <w:r>
              <w:rPr>
                <w:szCs w:val="21"/>
              </w:rPr>
              <w:t>2.07</w:t>
            </w:r>
          </w:p>
        </w:tc>
      </w:tr>
      <w:tr w14:paraId="26B3B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1" w:type="dxa"/>
            <w:vMerge w:val="continue"/>
            <w:tcBorders>
              <w:left w:val="single" w:color="auto" w:sz="4" w:space="0"/>
              <w:bottom w:val="single" w:color="auto" w:sz="4" w:space="0"/>
              <w:right w:val="single" w:color="auto" w:sz="4" w:space="0"/>
            </w:tcBorders>
            <w:vAlign w:val="center"/>
          </w:tcPr>
          <w:p w14:paraId="086EAC7B">
            <w:pPr>
              <w:adjustRightInd w:val="0"/>
              <w:snapToGrid w:val="0"/>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8DB9C10">
            <w:pPr>
              <w:adjustRightInd w:val="0"/>
              <w:snapToGrid w:val="0"/>
              <w:jc w:val="center"/>
              <w:rPr>
                <w:szCs w:val="21"/>
              </w:rPr>
            </w:pPr>
            <w:r>
              <w:rPr>
                <w:rFonts w:hint="eastAsia"/>
                <w:szCs w:val="21"/>
              </w:rPr>
              <w:t>非市区</w:t>
            </w:r>
          </w:p>
        </w:tc>
        <w:tc>
          <w:tcPr>
            <w:tcW w:w="1024" w:type="dxa"/>
            <w:vMerge w:val="continue"/>
            <w:tcBorders>
              <w:top w:val="single" w:color="auto" w:sz="4" w:space="0"/>
              <w:left w:val="single" w:color="auto" w:sz="4" w:space="0"/>
              <w:bottom w:val="single" w:color="auto" w:sz="4" w:space="0"/>
              <w:right w:val="single" w:color="auto" w:sz="4" w:space="0"/>
            </w:tcBorders>
            <w:vAlign w:val="center"/>
          </w:tcPr>
          <w:p w14:paraId="3BFEE030">
            <w:pPr>
              <w:adjustRightInd w:val="0"/>
              <w:snapToGrid w:val="0"/>
              <w:jc w:val="center"/>
              <w:rPr>
                <w:szCs w:val="21"/>
              </w:rPr>
            </w:pPr>
          </w:p>
        </w:tc>
        <w:tc>
          <w:tcPr>
            <w:tcW w:w="1021" w:type="dxa"/>
            <w:tcBorders>
              <w:top w:val="single" w:color="auto" w:sz="4" w:space="0"/>
              <w:left w:val="single" w:color="auto" w:sz="4" w:space="0"/>
              <w:bottom w:val="single" w:color="auto" w:sz="4" w:space="0"/>
              <w:right w:val="single" w:color="auto" w:sz="4" w:space="0"/>
            </w:tcBorders>
            <w:vAlign w:val="center"/>
          </w:tcPr>
          <w:p w14:paraId="3BEB6B21">
            <w:pPr>
              <w:adjustRightInd w:val="0"/>
              <w:snapToGrid w:val="0"/>
              <w:jc w:val="center"/>
              <w:rPr>
                <w:szCs w:val="21"/>
              </w:rPr>
            </w:pPr>
            <w:r>
              <w:rPr>
                <w:rFonts w:hint="eastAsia"/>
                <w:szCs w:val="21"/>
              </w:rPr>
              <w:t>2</w:t>
            </w:r>
            <w:r>
              <w:rPr>
                <w:szCs w:val="21"/>
              </w:rPr>
              <w:t>.7</w:t>
            </w:r>
          </w:p>
        </w:tc>
        <w:tc>
          <w:tcPr>
            <w:tcW w:w="1021" w:type="dxa"/>
            <w:tcBorders>
              <w:top w:val="single" w:color="auto" w:sz="4" w:space="0"/>
              <w:left w:val="single" w:color="auto" w:sz="4" w:space="0"/>
              <w:bottom w:val="single" w:color="auto" w:sz="4" w:space="0"/>
              <w:right w:val="single" w:color="auto" w:sz="4" w:space="0"/>
            </w:tcBorders>
            <w:vAlign w:val="center"/>
          </w:tcPr>
          <w:p w14:paraId="517994B9">
            <w:pPr>
              <w:adjustRightInd w:val="0"/>
              <w:snapToGrid w:val="0"/>
              <w:jc w:val="center"/>
              <w:rPr>
                <w:szCs w:val="21"/>
              </w:rPr>
            </w:pPr>
            <w:r>
              <w:rPr>
                <w:rFonts w:hint="eastAsia"/>
                <w:szCs w:val="21"/>
              </w:rPr>
              <w:t>2</w:t>
            </w:r>
            <w:r>
              <w:rPr>
                <w:szCs w:val="21"/>
              </w:rPr>
              <w:t>.3</w:t>
            </w:r>
          </w:p>
        </w:tc>
        <w:tc>
          <w:tcPr>
            <w:tcW w:w="1021" w:type="dxa"/>
            <w:tcBorders>
              <w:top w:val="single" w:color="auto" w:sz="4" w:space="0"/>
              <w:left w:val="single" w:color="auto" w:sz="4" w:space="0"/>
              <w:bottom w:val="single" w:color="auto" w:sz="4" w:space="0"/>
              <w:right w:val="single" w:color="auto" w:sz="4" w:space="0"/>
            </w:tcBorders>
            <w:vAlign w:val="center"/>
          </w:tcPr>
          <w:p w14:paraId="404B5ED7">
            <w:pPr>
              <w:adjustRightInd w:val="0"/>
              <w:snapToGrid w:val="0"/>
              <w:jc w:val="center"/>
              <w:rPr>
                <w:szCs w:val="21"/>
              </w:rPr>
            </w:pPr>
            <w:r>
              <w:rPr>
                <w:rFonts w:hint="eastAsia"/>
                <w:szCs w:val="21"/>
              </w:rPr>
              <w:t>1</w:t>
            </w:r>
            <w:r>
              <w:rPr>
                <w:szCs w:val="21"/>
              </w:rPr>
              <w:t>.60</w:t>
            </w:r>
          </w:p>
        </w:tc>
        <w:tc>
          <w:tcPr>
            <w:tcW w:w="1021" w:type="dxa"/>
            <w:tcBorders>
              <w:top w:val="single" w:color="auto" w:sz="4" w:space="0"/>
              <w:left w:val="single" w:color="auto" w:sz="4" w:space="0"/>
              <w:bottom w:val="single" w:color="auto" w:sz="4" w:space="0"/>
              <w:right w:val="single" w:color="auto" w:sz="4" w:space="0"/>
            </w:tcBorders>
            <w:vAlign w:val="center"/>
          </w:tcPr>
          <w:p w14:paraId="26822B95">
            <w:pPr>
              <w:adjustRightInd w:val="0"/>
              <w:snapToGrid w:val="0"/>
              <w:jc w:val="center"/>
              <w:rPr>
                <w:szCs w:val="21"/>
              </w:rPr>
            </w:pPr>
            <w:r>
              <w:rPr>
                <w:rFonts w:hint="eastAsia"/>
                <w:szCs w:val="21"/>
              </w:rPr>
              <w:t>2</w:t>
            </w:r>
            <w:r>
              <w:rPr>
                <w:szCs w:val="21"/>
              </w:rPr>
              <w:t>.76</w:t>
            </w:r>
          </w:p>
        </w:tc>
        <w:tc>
          <w:tcPr>
            <w:tcW w:w="1021" w:type="dxa"/>
            <w:tcBorders>
              <w:top w:val="single" w:color="auto" w:sz="4" w:space="0"/>
              <w:left w:val="single" w:color="auto" w:sz="4" w:space="0"/>
              <w:bottom w:val="single" w:color="auto" w:sz="4" w:space="0"/>
              <w:right w:val="single" w:color="auto" w:sz="4" w:space="0"/>
            </w:tcBorders>
            <w:vAlign w:val="center"/>
          </w:tcPr>
          <w:p w14:paraId="6ACEC5EC">
            <w:pPr>
              <w:adjustRightInd w:val="0"/>
              <w:snapToGrid w:val="0"/>
              <w:jc w:val="center"/>
              <w:rPr>
                <w:szCs w:val="21"/>
              </w:rPr>
            </w:pPr>
            <w:r>
              <w:rPr>
                <w:rFonts w:hint="eastAsia"/>
                <w:szCs w:val="21"/>
              </w:rPr>
              <w:t>1</w:t>
            </w:r>
            <w:r>
              <w:rPr>
                <w:szCs w:val="21"/>
              </w:rPr>
              <w:t>.58</w:t>
            </w:r>
          </w:p>
        </w:tc>
        <w:tc>
          <w:tcPr>
            <w:tcW w:w="1021" w:type="dxa"/>
            <w:tcBorders>
              <w:top w:val="single" w:color="auto" w:sz="4" w:space="0"/>
              <w:left w:val="single" w:color="auto" w:sz="4" w:space="0"/>
              <w:bottom w:val="single" w:color="auto" w:sz="4" w:space="0"/>
              <w:right w:val="single" w:color="auto" w:sz="4" w:space="0"/>
            </w:tcBorders>
            <w:vAlign w:val="center"/>
          </w:tcPr>
          <w:p w14:paraId="198BE3ED">
            <w:pPr>
              <w:adjustRightInd w:val="0"/>
              <w:snapToGrid w:val="0"/>
              <w:jc w:val="center"/>
              <w:rPr>
                <w:szCs w:val="21"/>
              </w:rPr>
            </w:pPr>
            <w:r>
              <w:rPr>
                <w:rFonts w:hint="eastAsia"/>
                <w:szCs w:val="21"/>
              </w:rPr>
              <w:t>1</w:t>
            </w:r>
            <w:r>
              <w:rPr>
                <w:szCs w:val="21"/>
              </w:rPr>
              <w:t>.86</w:t>
            </w:r>
          </w:p>
        </w:tc>
      </w:tr>
      <w:tr w14:paraId="16D9F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01" w:type="dxa"/>
            <w:gridSpan w:val="2"/>
            <w:tcBorders>
              <w:top w:val="single" w:color="auto" w:sz="4" w:space="0"/>
              <w:left w:val="single" w:color="auto" w:sz="4" w:space="0"/>
              <w:bottom w:val="single" w:color="auto" w:sz="4" w:space="0"/>
              <w:right w:val="single" w:color="auto" w:sz="4" w:space="0"/>
            </w:tcBorders>
            <w:vAlign w:val="center"/>
          </w:tcPr>
          <w:p w14:paraId="56BB8962">
            <w:pPr>
              <w:adjustRightInd w:val="0"/>
              <w:snapToGrid w:val="0"/>
              <w:jc w:val="center"/>
              <w:rPr>
                <w:szCs w:val="21"/>
              </w:rPr>
            </w:pPr>
            <w:r>
              <w:rPr>
                <w:rFonts w:hint="eastAsia"/>
                <w:szCs w:val="21"/>
              </w:rPr>
              <w:t>文明施工费</w:t>
            </w:r>
          </w:p>
        </w:tc>
        <w:tc>
          <w:tcPr>
            <w:tcW w:w="1024" w:type="dxa"/>
            <w:vMerge w:val="continue"/>
            <w:tcBorders>
              <w:top w:val="single" w:color="auto" w:sz="4" w:space="0"/>
              <w:left w:val="single" w:color="auto" w:sz="4" w:space="0"/>
              <w:bottom w:val="single" w:color="auto" w:sz="4" w:space="0"/>
              <w:right w:val="single" w:color="auto" w:sz="4" w:space="0"/>
            </w:tcBorders>
            <w:vAlign w:val="center"/>
          </w:tcPr>
          <w:p w14:paraId="7392587A">
            <w:pPr>
              <w:widowControl/>
              <w:snapToGrid w:val="0"/>
              <w:jc w:val="left"/>
              <w:rPr>
                <w:szCs w:val="21"/>
              </w:rPr>
            </w:pPr>
          </w:p>
        </w:tc>
        <w:tc>
          <w:tcPr>
            <w:tcW w:w="1021" w:type="dxa"/>
            <w:tcBorders>
              <w:top w:val="single" w:color="auto" w:sz="4" w:space="0"/>
              <w:left w:val="single" w:color="auto" w:sz="4" w:space="0"/>
              <w:bottom w:val="single" w:color="auto" w:sz="4" w:space="0"/>
              <w:right w:val="single" w:color="auto" w:sz="4" w:space="0"/>
            </w:tcBorders>
            <w:vAlign w:val="center"/>
          </w:tcPr>
          <w:p w14:paraId="50594564">
            <w:pPr>
              <w:adjustRightInd w:val="0"/>
              <w:snapToGrid w:val="0"/>
              <w:jc w:val="center"/>
              <w:rPr>
                <w:szCs w:val="21"/>
              </w:rPr>
            </w:pPr>
            <w:r>
              <w:rPr>
                <w:szCs w:val="21"/>
              </w:rPr>
              <w:t>5.12</w:t>
            </w:r>
          </w:p>
        </w:tc>
        <w:tc>
          <w:tcPr>
            <w:tcW w:w="1021" w:type="dxa"/>
            <w:tcBorders>
              <w:top w:val="single" w:color="auto" w:sz="4" w:space="0"/>
              <w:left w:val="single" w:color="auto" w:sz="4" w:space="0"/>
              <w:bottom w:val="single" w:color="auto" w:sz="4" w:space="0"/>
              <w:right w:val="single" w:color="auto" w:sz="4" w:space="0"/>
            </w:tcBorders>
            <w:vAlign w:val="center"/>
          </w:tcPr>
          <w:p w14:paraId="0BC7FDF3">
            <w:pPr>
              <w:adjustRightInd w:val="0"/>
              <w:snapToGrid w:val="0"/>
              <w:jc w:val="center"/>
              <w:rPr>
                <w:szCs w:val="21"/>
              </w:rPr>
            </w:pPr>
            <w:r>
              <w:rPr>
                <w:szCs w:val="21"/>
              </w:rPr>
              <w:t>4.5</w:t>
            </w:r>
          </w:p>
        </w:tc>
        <w:tc>
          <w:tcPr>
            <w:tcW w:w="1021" w:type="dxa"/>
            <w:tcBorders>
              <w:top w:val="single" w:color="auto" w:sz="4" w:space="0"/>
              <w:left w:val="single" w:color="auto" w:sz="4" w:space="0"/>
              <w:bottom w:val="single" w:color="auto" w:sz="4" w:space="0"/>
              <w:right w:val="single" w:color="auto" w:sz="4" w:space="0"/>
            </w:tcBorders>
            <w:vAlign w:val="center"/>
          </w:tcPr>
          <w:p w14:paraId="126606FB">
            <w:pPr>
              <w:adjustRightInd w:val="0"/>
              <w:snapToGrid w:val="0"/>
              <w:jc w:val="center"/>
              <w:rPr>
                <w:szCs w:val="21"/>
              </w:rPr>
            </w:pPr>
            <w:r>
              <w:rPr>
                <w:szCs w:val="21"/>
              </w:rPr>
              <w:t>6.1</w:t>
            </w:r>
          </w:p>
        </w:tc>
        <w:tc>
          <w:tcPr>
            <w:tcW w:w="1021" w:type="dxa"/>
            <w:tcBorders>
              <w:top w:val="single" w:color="auto" w:sz="4" w:space="0"/>
              <w:left w:val="single" w:color="auto" w:sz="4" w:space="0"/>
              <w:bottom w:val="single" w:color="auto" w:sz="4" w:space="0"/>
              <w:right w:val="single" w:color="auto" w:sz="4" w:space="0"/>
            </w:tcBorders>
            <w:vAlign w:val="center"/>
          </w:tcPr>
          <w:p w14:paraId="6F268B65">
            <w:pPr>
              <w:adjustRightInd w:val="0"/>
              <w:snapToGrid w:val="0"/>
              <w:jc w:val="center"/>
              <w:rPr>
                <w:szCs w:val="21"/>
              </w:rPr>
            </w:pPr>
            <w:r>
              <w:rPr>
                <w:szCs w:val="21"/>
              </w:rPr>
              <w:t>7.33</w:t>
            </w:r>
          </w:p>
        </w:tc>
        <w:tc>
          <w:tcPr>
            <w:tcW w:w="1021" w:type="dxa"/>
            <w:tcBorders>
              <w:top w:val="single" w:color="auto" w:sz="4" w:space="0"/>
              <w:left w:val="single" w:color="auto" w:sz="4" w:space="0"/>
              <w:bottom w:val="single" w:color="auto" w:sz="4" w:space="0"/>
              <w:right w:val="single" w:color="auto" w:sz="4" w:space="0"/>
            </w:tcBorders>
            <w:vAlign w:val="center"/>
          </w:tcPr>
          <w:p w14:paraId="34BE9515">
            <w:pPr>
              <w:adjustRightInd w:val="0"/>
              <w:snapToGrid w:val="0"/>
              <w:jc w:val="center"/>
              <w:rPr>
                <w:szCs w:val="21"/>
              </w:rPr>
            </w:pPr>
            <w:r>
              <w:rPr>
                <w:szCs w:val="21"/>
              </w:rPr>
              <w:t>3.05</w:t>
            </w:r>
          </w:p>
        </w:tc>
        <w:tc>
          <w:tcPr>
            <w:tcW w:w="1021" w:type="dxa"/>
            <w:tcBorders>
              <w:top w:val="single" w:color="auto" w:sz="4" w:space="0"/>
              <w:left w:val="single" w:color="auto" w:sz="4" w:space="0"/>
              <w:bottom w:val="single" w:color="auto" w:sz="4" w:space="0"/>
              <w:right w:val="single" w:color="auto" w:sz="4" w:space="0"/>
            </w:tcBorders>
            <w:vAlign w:val="center"/>
          </w:tcPr>
          <w:p w14:paraId="0E6A15FB">
            <w:pPr>
              <w:adjustRightInd w:val="0"/>
              <w:snapToGrid w:val="0"/>
              <w:jc w:val="center"/>
              <w:rPr>
                <w:szCs w:val="21"/>
              </w:rPr>
            </w:pPr>
            <w:r>
              <w:rPr>
                <w:szCs w:val="21"/>
              </w:rPr>
              <w:t>4.67</w:t>
            </w:r>
          </w:p>
        </w:tc>
      </w:tr>
      <w:tr w14:paraId="04F26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01" w:type="dxa"/>
            <w:gridSpan w:val="2"/>
            <w:tcBorders>
              <w:top w:val="single" w:color="auto" w:sz="4" w:space="0"/>
              <w:left w:val="single" w:color="auto" w:sz="4" w:space="0"/>
              <w:bottom w:val="single" w:color="auto" w:sz="4" w:space="0"/>
              <w:right w:val="single" w:color="auto" w:sz="4" w:space="0"/>
            </w:tcBorders>
            <w:vAlign w:val="center"/>
          </w:tcPr>
          <w:p w14:paraId="4426BA66">
            <w:pPr>
              <w:adjustRightInd w:val="0"/>
              <w:snapToGrid w:val="0"/>
              <w:jc w:val="center"/>
              <w:rPr>
                <w:szCs w:val="21"/>
              </w:rPr>
            </w:pPr>
            <w:r>
              <w:rPr>
                <w:rFonts w:hint="eastAsia"/>
                <w:szCs w:val="21"/>
              </w:rPr>
              <w:t>安全施工费</w:t>
            </w:r>
          </w:p>
        </w:tc>
        <w:tc>
          <w:tcPr>
            <w:tcW w:w="1024" w:type="dxa"/>
            <w:vMerge w:val="continue"/>
            <w:tcBorders>
              <w:top w:val="single" w:color="auto" w:sz="4" w:space="0"/>
              <w:left w:val="single" w:color="auto" w:sz="4" w:space="0"/>
              <w:bottom w:val="single" w:color="auto" w:sz="4" w:space="0"/>
              <w:right w:val="single" w:color="auto" w:sz="4" w:space="0"/>
            </w:tcBorders>
            <w:vAlign w:val="center"/>
          </w:tcPr>
          <w:p w14:paraId="1CC9C18F">
            <w:pPr>
              <w:widowControl/>
              <w:snapToGrid w:val="0"/>
              <w:jc w:val="left"/>
              <w:rPr>
                <w:szCs w:val="21"/>
              </w:rPr>
            </w:pPr>
          </w:p>
        </w:tc>
        <w:tc>
          <w:tcPr>
            <w:tcW w:w="1021" w:type="dxa"/>
            <w:tcBorders>
              <w:top w:val="single" w:color="auto" w:sz="4" w:space="0"/>
              <w:left w:val="single" w:color="auto" w:sz="4" w:space="0"/>
              <w:bottom w:val="single" w:color="auto" w:sz="4" w:space="0"/>
              <w:right w:val="single" w:color="auto" w:sz="4" w:space="0"/>
            </w:tcBorders>
            <w:vAlign w:val="center"/>
          </w:tcPr>
          <w:p w14:paraId="03135103">
            <w:pPr>
              <w:adjustRightInd w:val="0"/>
              <w:snapToGrid w:val="0"/>
              <w:jc w:val="center"/>
              <w:rPr>
                <w:szCs w:val="21"/>
              </w:rPr>
            </w:pPr>
            <w:r>
              <w:rPr>
                <w:szCs w:val="21"/>
              </w:rPr>
              <w:t>4.13</w:t>
            </w:r>
          </w:p>
        </w:tc>
        <w:tc>
          <w:tcPr>
            <w:tcW w:w="1021" w:type="dxa"/>
            <w:tcBorders>
              <w:top w:val="single" w:color="auto" w:sz="4" w:space="0"/>
              <w:left w:val="single" w:color="auto" w:sz="4" w:space="0"/>
              <w:bottom w:val="single" w:color="auto" w:sz="4" w:space="0"/>
              <w:right w:val="single" w:color="auto" w:sz="4" w:space="0"/>
            </w:tcBorders>
            <w:vAlign w:val="center"/>
          </w:tcPr>
          <w:p w14:paraId="17178D33">
            <w:pPr>
              <w:adjustRightInd w:val="0"/>
              <w:snapToGrid w:val="0"/>
              <w:jc w:val="center"/>
              <w:rPr>
                <w:szCs w:val="21"/>
              </w:rPr>
            </w:pPr>
            <w:r>
              <w:rPr>
                <w:rFonts w:hint="eastAsia"/>
                <w:szCs w:val="21"/>
              </w:rPr>
              <w:t>3.1</w:t>
            </w:r>
          </w:p>
        </w:tc>
        <w:tc>
          <w:tcPr>
            <w:tcW w:w="1021" w:type="dxa"/>
            <w:tcBorders>
              <w:top w:val="single" w:color="auto" w:sz="4" w:space="0"/>
              <w:left w:val="single" w:color="auto" w:sz="4" w:space="0"/>
              <w:bottom w:val="single" w:color="auto" w:sz="4" w:space="0"/>
              <w:right w:val="single" w:color="auto" w:sz="4" w:space="0"/>
            </w:tcBorders>
            <w:vAlign w:val="center"/>
          </w:tcPr>
          <w:p w14:paraId="7D909E57">
            <w:pPr>
              <w:adjustRightInd w:val="0"/>
              <w:snapToGrid w:val="0"/>
              <w:jc w:val="center"/>
              <w:rPr>
                <w:szCs w:val="21"/>
              </w:rPr>
            </w:pPr>
            <w:r>
              <w:rPr>
                <w:szCs w:val="21"/>
              </w:rPr>
              <w:t>4.22</w:t>
            </w:r>
          </w:p>
        </w:tc>
        <w:tc>
          <w:tcPr>
            <w:tcW w:w="1021" w:type="dxa"/>
            <w:tcBorders>
              <w:top w:val="single" w:color="auto" w:sz="4" w:space="0"/>
              <w:left w:val="single" w:color="auto" w:sz="4" w:space="0"/>
              <w:bottom w:val="single" w:color="auto" w:sz="4" w:space="0"/>
              <w:right w:val="single" w:color="auto" w:sz="4" w:space="0"/>
            </w:tcBorders>
            <w:vAlign w:val="center"/>
          </w:tcPr>
          <w:p w14:paraId="30176505">
            <w:pPr>
              <w:adjustRightInd w:val="0"/>
              <w:snapToGrid w:val="0"/>
              <w:jc w:val="center"/>
              <w:rPr>
                <w:szCs w:val="21"/>
              </w:rPr>
            </w:pPr>
            <w:r>
              <w:rPr>
                <w:szCs w:val="21"/>
              </w:rPr>
              <w:t>5.28</w:t>
            </w:r>
          </w:p>
        </w:tc>
        <w:tc>
          <w:tcPr>
            <w:tcW w:w="1021" w:type="dxa"/>
            <w:tcBorders>
              <w:top w:val="single" w:color="auto" w:sz="4" w:space="0"/>
              <w:left w:val="single" w:color="auto" w:sz="4" w:space="0"/>
              <w:bottom w:val="single" w:color="auto" w:sz="4" w:space="0"/>
              <w:right w:val="single" w:color="auto" w:sz="4" w:space="0"/>
            </w:tcBorders>
            <w:vAlign w:val="center"/>
          </w:tcPr>
          <w:p w14:paraId="0C8B3C93">
            <w:pPr>
              <w:adjustRightInd w:val="0"/>
              <w:snapToGrid w:val="0"/>
              <w:jc w:val="center"/>
              <w:rPr>
                <w:szCs w:val="21"/>
              </w:rPr>
            </w:pPr>
            <w:r>
              <w:rPr>
                <w:szCs w:val="21"/>
              </w:rPr>
              <w:t>2.16</w:t>
            </w:r>
          </w:p>
        </w:tc>
        <w:tc>
          <w:tcPr>
            <w:tcW w:w="1021" w:type="dxa"/>
            <w:tcBorders>
              <w:top w:val="single" w:color="auto" w:sz="4" w:space="0"/>
              <w:left w:val="single" w:color="auto" w:sz="4" w:space="0"/>
              <w:bottom w:val="single" w:color="auto" w:sz="4" w:space="0"/>
              <w:right w:val="single" w:color="auto" w:sz="4" w:space="0"/>
            </w:tcBorders>
            <w:vAlign w:val="center"/>
          </w:tcPr>
          <w:p w14:paraId="549F7904">
            <w:pPr>
              <w:adjustRightInd w:val="0"/>
              <w:snapToGrid w:val="0"/>
              <w:jc w:val="center"/>
              <w:rPr>
                <w:szCs w:val="21"/>
              </w:rPr>
            </w:pPr>
            <w:r>
              <w:rPr>
                <w:szCs w:val="21"/>
              </w:rPr>
              <w:t>2.27</w:t>
            </w:r>
          </w:p>
        </w:tc>
      </w:tr>
      <w:tr w14:paraId="0FE4F4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701" w:type="dxa"/>
            <w:gridSpan w:val="2"/>
            <w:tcBorders>
              <w:top w:val="single" w:color="auto" w:sz="4" w:space="0"/>
              <w:left w:val="single" w:color="auto" w:sz="4" w:space="0"/>
              <w:bottom w:val="single" w:color="auto" w:sz="4" w:space="0"/>
              <w:right w:val="single" w:color="auto" w:sz="4" w:space="0"/>
            </w:tcBorders>
            <w:vAlign w:val="center"/>
          </w:tcPr>
          <w:p w14:paraId="63A60AC2">
            <w:pPr>
              <w:adjustRightInd w:val="0"/>
              <w:snapToGrid w:val="0"/>
              <w:jc w:val="center"/>
              <w:rPr>
                <w:szCs w:val="21"/>
              </w:rPr>
            </w:pPr>
            <w:r>
              <w:rPr>
                <w:rFonts w:hint="eastAsia"/>
                <w:szCs w:val="21"/>
              </w:rPr>
              <w:t>临时设施费</w:t>
            </w:r>
          </w:p>
        </w:tc>
        <w:tc>
          <w:tcPr>
            <w:tcW w:w="1024" w:type="dxa"/>
            <w:vMerge w:val="continue"/>
            <w:tcBorders>
              <w:top w:val="single" w:color="auto" w:sz="4" w:space="0"/>
              <w:left w:val="single" w:color="auto" w:sz="4" w:space="0"/>
              <w:bottom w:val="single" w:color="auto" w:sz="4" w:space="0"/>
              <w:right w:val="single" w:color="auto" w:sz="4" w:space="0"/>
            </w:tcBorders>
            <w:vAlign w:val="center"/>
          </w:tcPr>
          <w:p w14:paraId="73F7B07B">
            <w:pPr>
              <w:widowControl/>
              <w:snapToGrid w:val="0"/>
              <w:jc w:val="left"/>
              <w:rPr>
                <w:szCs w:val="21"/>
              </w:rPr>
            </w:pPr>
          </w:p>
        </w:tc>
        <w:tc>
          <w:tcPr>
            <w:tcW w:w="1021" w:type="dxa"/>
            <w:tcBorders>
              <w:top w:val="single" w:color="auto" w:sz="4" w:space="0"/>
              <w:left w:val="single" w:color="auto" w:sz="4" w:space="0"/>
              <w:bottom w:val="single" w:color="auto" w:sz="4" w:space="0"/>
              <w:right w:val="single" w:color="auto" w:sz="4" w:space="0"/>
            </w:tcBorders>
            <w:vAlign w:val="center"/>
          </w:tcPr>
          <w:p w14:paraId="003A5021">
            <w:pPr>
              <w:adjustRightInd w:val="0"/>
              <w:snapToGrid w:val="0"/>
              <w:jc w:val="center"/>
              <w:rPr>
                <w:szCs w:val="21"/>
              </w:rPr>
            </w:pPr>
            <w:r>
              <w:rPr>
                <w:szCs w:val="21"/>
              </w:rPr>
              <w:t>8</w:t>
            </w:r>
            <w:r>
              <w:rPr>
                <w:rFonts w:hint="eastAsia"/>
                <w:szCs w:val="21"/>
              </w:rPr>
              <w:t>.1</w:t>
            </w:r>
          </w:p>
        </w:tc>
        <w:tc>
          <w:tcPr>
            <w:tcW w:w="1021" w:type="dxa"/>
            <w:tcBorders>
              <w:top w:val="single" w:color="auto" w:sz="4" w:space="0"/>
              <w:left w:val="single" w:color="auto" w:sz="4" w:space="0"/>
              <w:bottom w:val="single" w:color="auto" w:sz="4" w:space="0"/>
              <w:right w:val="single" w:color="auto" w:sz="4" w:space="0"/>
            </w:tcBorders>
            <w:vAlign w:val="center"/>
          </w:tcPr>
          <w:p w14:paraId="5820B5C3">
            <w:pPr>
              <w:adjustRightInd w:val="0"/>
              <w:snapToGrid w:val="0"/>
              <w:jc w:val="center"/>
              <w:rPr>
                <w:szCs w:val="21"/>
              </w:rPr>
            </w:pPr>
            <w:r>
              <w:rPr>
                <w:rFonts w:hint="eastAsia"/>
                <w:szCs w:val="21"/>
              </w:rPr>
              <w:t>5.8</w:t>
            </w:r>
          </w:p>
        </w:tc>
        <w:tc>
          <w:tcPr>
            <w:tcW w:w="1021" w:type="dxa"/>
            <w:tcBorders>
              <w:top w:val="single" w:color="auto" w:sz="4" w:space="0"/>
              <w:left w:val="single" w:color="auto" w:sz="4" w:space="0"/>
              <w:bottom w:val="single" w:color="auto" w:sz="4" w:space="0"/>
              <w:right w:val="single" w:color="auto" w:sz="4" w:space="0"/>
            </w:tcBorders>
            <w:vAlign w:val="center"/>
          </w:tcPr>
          <w:p w14:paraId="79E9E762">
            <w:pPr>
              <w:adjustRightInd w:val="0"/>
              <w:snapToGrid w:val="0"/>
              <w:jc w:val="center"/>
              <w:rPr>
                <w:szCs w:val="21"/>
              </w:rPr>
            </w:pPr>
            <w:r>
              <w:rPr>
                <w:rFonts w:hint="eastAsia"/>
                <w:szCs w:val="21"/>
              </w:rPr>
              <w:t>4.6</w:t>
            </w:r>
          </w:p>
        </w:tc>
        <w:tc>
          <w:tcPr>
            <w:tcW w:w="1021" w:type="dxa"/>
            <w:tcBorders>
              <w:top w:val="single" w:color="auto" w:sz="4" w:space="0"/>
              <w:left w:val="single" w:color="auto" w:sz="4" w:space="0"/>
              <w:bottom w:val="single" w:color="auto" w:sz="4" w:space="0"/>
              <w:right w:val="single" w:color="auto" w:sz="4" w:space="0"/>
            </w:tcBorders>
            <w:vAlign w:val="center"/>
          </w:tcPr>
          <w:p w14:paraId="1D5E9842">
            <w:pPr>
              <w:adjustRightInd w:val="0"/>
              <w:snapToGrid w:val="0"/>
              <w:jc w:val="center"/>
              <w:rPr>
                <w:szCs w:val="21"/>
              </w:rPr>
            </w:pPr>
            <w:r>
              <w:rPr>
                <w:szCs w:val="21"/>
              </w:rPr>
              <w:t>7.99</w:t>
            </w:r>
          </w:p>
        </w:tc>
        <w:tc>
          <w:tcPr>
            <w:tcW w:w="1021" w:type="dxa"/>
            <w:tcBorders>
              <w:top w:val="single" w:color="auto" w:sz="4" w:space="0"/>
              <w:left w:val="single" w:color="auto" w:sz="4" w:space="0"/>
              <w:bottom w:val="single" w:color="auto" w:sz="4" w:space="0"/>
              <w:right w:val="single" w:color="auto" w:sz="4" w:space="0"/>
            </w:tcBorders>
            <w:vAlign w:val="center"/>
          </w:tcPr>
          <w:p w14:paraId="5103E6FB">
            <w:pPr>
              <w:adjustRightInd w:val="0"/>
              <w:snapToGrid w:val="0"/>
              <w:jc w:val="center"/>
              <w:rPr>
                <w:szCs w:val="21"/>
              </w:rPr>
            </w:pPr>
            <w:r>
              <w:rPr>
                <w:rFonts w:hint="eastAsia"/>
                <w:szCs w:val="21"/>
              </w:rPr>
              <w:t>3.2</w:t>
            </w:r>
          </w:p>
        </w:tc>
        <w:tc>
          <w:tcPr>
            <w:tcW w:w="1021" w:type="dxa"/>
            <w:tcBorders>
              <w:top w:val="single" w:color="auto" w:sz="4" w:space="0"/>
              <w:left w:val="single" w:color="auto" w:sz="4" w:space="0"/>
              <w:bottom w:val="single" w:color="auto" w:sz="4" w:space="0"/>
              <w:right w:val="single" w:color="auto" w:sz="4" w:space="0"/>
            </w:tcBorders>
            <w:vAlign w:val="center"/>
          </w:tcPr>
          <w:p w14:paraId="1DC0FE35">
            <w:pPr>
              <w:adjustRightInd w:val="0"/>
              <w:snapToGrid w:val="0"/>
              <w:jc w:val="center"/>
              <w:rPr>
                <w:szCs w:val="21"/>
              </w:rPr>
            </w:pPr>
            <w:r>
              <w:rPr>
                <w:szCs w:val="21"/>
              </w:rPr>
              <w:t>3.98</w:t>
            </w:r>
          </w:p>
        </w:tc>
      </w:tr>
      <w:tr w14:paraId="6C824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4" w:hRule="atLeast"/>
        </w:trPr>
        <w:tc>
          <w:tcPr>
            <w:tcW w:w="8851" w:type="dxa"/>
            <w:gridSpan w:val="9"/>
            <w:tcBorders>
              <w:top w:val="single" w:color="auto" w:sz="4" w:space="0"/>
              <w:left w:val="single" w:color="auto" w:sz="4" w:space="0"/>
              <w:right w:val="single" w:color="auto" w:sz="4" w:space="0"/>
            </w:tcBorders>
            <w:vAlign w:val="center"/>
          </w:tcPr>
          <w:p w14:paraId="5D894888">
            <w:pPr>
              <w:adjustRightInd w:val="0"/>
              <w:snapToGrid w:val="0"/>
              <w:jc w:val="left"/>
              <w:rPr>
                <w:szCs w:val="21"/>
              </w:rPr>
            </w:pPr>
            <w:r>
              <w:rPr>
                <w:rFonts w:hint="eastAsia"/>
                <w:szCs w:val="21"/>
              </w:rPr>
              <w:t>房屋建筑、市政工程中挖或填土石方量大于5000m</w:t>
            </w:r>
            <w:r>
              <w:rPr>
                <w:rFonts w:hint="eastAsia"/>
                <w:szCs w:val="21"/>
                <w:vertAlign w:val="superscript"/>
              </w:rPr>
              <w:t>3</w:t>
            </w:r>
            <w:r>
              <w:rPr>
                <w:rFonts w:hint="eastAsia"/>
                <w:szCs w:val="21"/>
              </w:rPr>
              <w:t>的大型土石方工程，安全文明施工费费率按房屋建筑工程或市政工程相应费率乘0.6系数。</w:t>
            </w:r>
          </w:p>
          <w:p w14:paraId="76B08243">
            <w:pPr>
              <w:adjustRightInd w:val="0"/>
              <w:snapToGrid w:val="0"/>
              <w:jc w:val="left"/>
              <w:rPr>
                <w:szCs w:val="21"/>
              </w:rPr>
            </w:pPr>
            <w:r>
              <w:rPr>
                <w:rFonts w:hint="eastAsia"/>
                <w:szCs w:val="21"/>
              </w:rPr>
              <w:t>不可竞争费率，如遇政策性调整，按照最新文件执行。</w:t>
            </w:r>
          </w:p>
        </w:tc>
      </w:tr>
    </w:tbl>
    <w:p w14:paraId="5C783B12">
      <w:pPr>
        <w:pStyle w:val="3"/>
        <w:rPr>
          <w:rFonts w:ascii="Times New Roman" w:hAnsi="Times New Roman" w:eastAsia="黑体"/>
          <w:b w:val="0"/>
          <w:snapToGrid w:val="0"/>
          <w:sz w:val="28"/>
          <w:szCs w:val="28"/>
        </w:rPr>
      </w:pPr>
      <w:bookmarkStart w:id="163" w:name="_Toc19540930"/>
      <w:bookmarkStart w:id="164" w:name="_Toc36119753"/>
      <w:bookmarkStart w:id="165" w:name="_Toc24017"/>
      <w:bookmarkStart w:id="166" w:name="_Toc14657"/>
      <w:bookmarkStart w:id="167" w:name="_Toc1400"/>
      <w:r>
        <w:rPr>
          <w:rFonts w:hint="eastAsia" w:ascii="Times New Roman" w:hAnsi="Times New Roman" w:eastAsia="黑体"/>
          <w:b w:val="0"/>
          <w:snapToGrid w:val="0"/>
          <w:sz w:val="28"/>
          <w:szCs w:val="28"/>
        </w:rPr>
        <w:t>2. 工程造价确定</w:t>
      </w:r>
      <w:bookmarkEnd w:id="163"/>
      <w:bookmarkEnd w:id="164"/>
      <w:bookmarkEnd w:id="165"/>
      <w:bookmarkEnd w:id="166"/>
      <w:bookmarkEnd w:id="167"/>
    </w:p>
    <w:p w14:paraId="0B7F17DB">
      <w:pPr>
        <w:spacing w:line="400" w:lineRule="exact"/>
        <w:ind w:firstLine="420" w:firstLineChars="200"/>
        <w:rPr>
          <w:szCs w:val="24"/>
        </w:rPr>
      </w:pPr>
      <w:r>
        <w:rPr>
          <w:rFonts w:hint="eastAsia"/>
          <w:szCs w:val="24"/>
        </w:rPr>
        <w:t>2.1 本项目采用工程量清单计价。</w:t>
      </w:r>
    </w:p>
    <w:p w14:paraId="25C2D8C5">
      <w:pPr>
        <w:spacing w:line="400" w:lineRule="exact"/>
        <w:ind w:firstLine="420" w:firstLineChars="200"/>
        <w:rPr>
          <w:szCs w:val="24"/>
        </w:rPr>
      </w:pPr>
      <w:r>
        <w:rPr>
          <w:rFonts w:hint="eastAsia"/>
          <w:szCs w:val="24"/>
        </w:rPr>
        <w:t>2.2 除招标文件另有约定外，本项目计税采用增值税一般计税方法。</w:t>
      </w:r>
    </w:p>
    <w:p w14:paraId="3F02B77D">
      <w:pPr>
        <w:spacing w:line="400" w:lineRule="exact"/>
        <w:ind w:firstLine="420" w:firstLineChars="200"/>
        <w:rPr>
          <w:szCs w:val="24"/>
        </w:rPr>
      </w:pPr>
      <w:r>
        <w:rPr>
          <w:rFonts w:hint="eastAsia"/>
          <w:szCs w:val="24"/>
        </w:rPr>
        <w:t>2.3 建设工程造价由分部分项工程费、措施项目费、不可竞争费、其他项目费和税金构成。</w:t>
      </w:r>
    </w:p>
    <w:p w14:paraId="6645F98B">
      <w:pPr>
        <w:spacing w:line="400" w:lineRule="exact"/>
        <w:ind w:firstLine="420" w:firstLineChars="200"/>
        <w:rPr>
          <w:szCs w:val="24"/>
        </w:rPr>
      </w:pPr>
      <w:r>
        <w:rPr>
          <w:rFonts w:hint="eastAsia"/>
          <w:szCs w:val="24"/>
        </w:rPr>
        <w:t>2.4 分部分项工程项目清单采用综合单价计价。综合单价是指完成一个规定计量单位的分部分项工程和措施清单项目所需的人工费、材料和工程设备费、施工机具使用费和综合费（企业管理费和利润）以及一定范围内的风险费用。</w:t>
      </w:r>
    </w:p>
    <w:p w14:paraId="2583401C">
      <w:pPr>
        <w:pStyle w:val="3"/>
        <w:rPr>
          <w:rFonts w:ascii="Times New Roman" w:hAnsi="Times New Roman" w:eastAsia="黑体"/>
          <w:b w:val="0"/>
          <w:snapToGrid w:val="0"/>
          <w:sz w:val="28"/>
          <w:szCs w:val="28"/>
        </w:rPr>
      </w:pPr>
      <w:bookmarkStart w:id="168" w:name="_Toc6481"/>
      <w:bookmarkStart w:id="169" w:name="_Toc19540931"/>
      <w:bookmarkStart w:id="170" w:name="_Toc25982"/>
      <w:bookmarkStart w:id="171" w:name="_Toc36119754"/>
      <w:bookmarkStart w:id="172" w:name="_Toc16430"/>
      <w:r>
        <w:rPr>
          <w:rFonts w:hint="eastAsia" w:ascii="Times New Roman" w:hAnsi="Times New Roman" w:eastAsia="黑体"/>
          <w:b w:val="0"/>
          <w:snapToGrid w:val="0"/>
          <w:sz w:val="28"/>
          <w:szCs w:val="28"/>
        </w:rPr>
        <w:t>3. 招标工程量清单编制要求</w:t>
      </w:r>
      <w:bookmarkEnd w:id="168"/>
      <w:bookmarkEnd w:id="169"/>
      <w:bookmarkEnd w:id="170"/>
      <w:bookmarkEnd w:id="171"/>
      <w:bookmarkEnd w:id="172"/>
    </w:p>
    <w:p w14:paraId="373F3A41">
      <w:pPr>
        <w:spacing w:line="400" w:lineRule="exact"/>
        <w:ind w:firstLine="420" w:firstLineChars="200"/>
        <w:rPr>
          <w:szCs w:val="24"/>
        </w:rPr>
      </w:pPr>
      <w:r>
        <w:rPr>
          <w:rFonts w:hint="eastAsia"/>
          <w:szCs w:val="24"/>
        </w:rPr>
        <w:t>3.1 招标工程量清单编制依据如下：</w:t>
      </w:r>
    </w:p>
    <w:p w14:paraId="0FAA9F6A">
      <w:pPr>
        <w:spacing w:line="400" w:lineRule="exact"/>
        <w:ind w:firstLine="420" w:firstLineChars="200"/>
        <w:rPr>
          <w:szCs w:val="24"/>
        </w:rPr>
      </w:pPr>
      <w:r>
        <w:rPr>
          <w:rFonts w:hint="eastAsia"/>
          <w:szCs w:val="24"/>
        </w:rPr>
        <w:t>（1）2018版安徽省建设工程工程量清单计价办法；</w:t>
      </w:r>
    </w:p>
    <w:p w14:paraId="1FB26A25">
      <w:pPr>
        <w:spacing w:line="400" w:lineRule="exact"/>
        <w:ind w:firstLine="420" w:firstLineChars="200"/>
        <w:rPr>
          <w:szCs w:val="24"/>
        </w:rPr>
      </w:pPr>
      <w:r>
        <w:rPr>
          <w:rFonts w:hint="eastAsia"/>
          <w:szCs w:val="24"/>
        </w:rPr>
        <w:t xml:space="preserve">（2）《关于贯彻执行2018版安徽省建设工程计价依据的通知》（合造价[2018]13号）及《关于调整合肥市建设工程计价依据增值税税率的通知》（合造价[2019]1号）； </w:t>
      </w:r>
    </w:p>
    <w:p w14:paraId="1A9ECF9B">
      <w:pPr>
        <w:spacing w:line="400" w:lineRule="exact"/>
        <w:ind w:firstLine="420" w:firstLineChars="200"/>
        <w:rPr>
          <w:szCs w:val="24"/>
        </w:rPr>
      </w:pPr>
      <w:r>
        <w:rPr>
          <w:rFonts w:hint="eastAsia"/>
          <w:szCs w:val="24"/>
        </w:rPr>
        <w:t>（3）建设工程设计文件及相关资料；</w:t>
      </w:r>
    </w:p>
    <w:p w14:paraId="598F2FB2">
      <w:pPr>
        <w:spacing w:line="400" w:lineRule="exact"/>
        <w:ind w:firstLine="420" w:firstLineChars="200"/>
        <w:rPr>
          <w:szCs w:val="24"/>
        </w:rPr>
      </w:pPr>
      <w:r>
        <w:rPr>
          <w:rFonts w:hint="eastAsia"/>
          <w:szCs w:val="24"/>
        </w:rPr>
        <w:t>（4）与建设项目有关的标准、规范、技术资料；</w:t>
      </w:r>
    </w:p>
    <w:p w14:paraId="652596F4">
      <w:pPr>
        <w:spacing w:line="400" w:lineRule="exact"/>
        <w:ind w:firstLine="420" w:firstLineChars="200"/>
        <w:rPr>
          <w:szCs w:val="24"/>
        </w:rPr>
      </w:pPr>
      <w:r>
        <w:rPr>
          <w:rFonts w:hint="eastAsia"/>
          <w:szCs w:val="24"/>
        </w:rPr>
        <w:t xml:space="preserve">（5）拟定的招标文件及其补充通知答疑纪要； </w:t>
      </w:r>
    </w:p>
    <w:p w14:paraId="6E1CFFEE">
      <w:pPr>
        <w:spacing w:line="400" w:lineRule="exact"/>
        <w:ind w:firstLine="420" w:firstLineChars="200"/>
        <w:rPr>
          <w:szCs w:val="24"/>
        </w:rPr>
      </w:pPr>
      <w:r>
        <w:rPr>
          <w:rFonts w:hint="eastAsia"/>
          <w:szCs w:val="24"/>
        </w:rPr>
        <w:t>（6）施工现场情况、地勘水文资料、工程特点及常规施工方案；</w:t>
      </w:r>
    </w:p>
    <w:p w14:paraId="69933FE0">
      <w:pPr>
        <w:spacing w:line="400" w:lineRule="exact"/>
        <w:ind w:firstLine="420" w:firstLineChars="200"/>
        <w:rPr>
          <w:szCs w:val="24"/>
        </w:rPr>
      </w:pPr>
      <w:r>
        <w:rPr>
          <w:rFonts w:hint="eastAsia"/>
          <w:szCs w:val="24"/>
        </w:rPr>
        <w:t>（7）招标人对项目其他相关要求文件。</w:t>
      </w:r>
    </w:p>
    <w:p w14:paraId="51065C4D">
      <w:pPr>
        <w:spacing w:line="400" w:lineRule="exact"/>
        <w:ind w:firstLine="420" w:firstLineChars="200"/>
        <w:rPr>
          <w:szCs w:val="24"/>
        </w:rPr>
      </w:pPr>
      <w:r>
        <w:rPr>
          <w:rFonts w:hint="eastAsia"/>
          <w:szCs w:val="24"/>
        </w:rPr>
        <w:t>3.2 招标工程量清单作为招标文件的组成部分，是编制最高投标限价（招标控制价）、投标报价、计算工程量、调整合同价款、办理工程竣工结算以及工程索赔等的依据。</w:t>
      </w:r>
    </w:p>
    <w:p w14:paraId="7C0FCD56">
      <w:pPr>
        <w:spacing w:line="400" w:lineRule="exact"/>
        <w:ind w:firstLine="420" w:firstLineChars="200"/>
        <w:rPr>
          <w:szCs w:val="24"/>
        </w:rPr>
      </w:pPr>
      <w:r>
        <w:rPr>
          <w:rFonts w:hint="eastAsia"/>
          <w:szCs w:val="24"/>
        </w:rPr>
        <w:t>3.3 投标人在投标报价过程中有责任和义务对招标人提供的工程量清单进行分析和核对,发现问题应按招标文件要求以书面形式告知招标人。</w:t>
      </w:r>
    </w:p>
    <w:p w14:paraId="05455482">
      <w:pPr>
        <w:spacing w:line="400" w:lineRule="exact"/>
        <w:ind w:firstLine="420" w:firstLineChars="200"/>
        <w:rPr>
          <w:szCs w:val="24"/>
        </w:rPr>
      </w:pPr>
      <w:r>
        <w:rPr>
          <w:rFonts w:hint="eastAsia"/>
          <w:szCs w:val="24"/>
        </w:rPr>
        <w:t>3.4 工程量清单由分部分项工程量清单、措施项目清单、不可竞争项目清单、其他项目清单、税金项目清单组成。采用统一格式和表格，具体构成内容见“工程量清单”。</w:t>
      </w:r>
    </w:p>
    <w:p w14:paraId="4FC7A0DE">
      <w:pPr>
        <w:spacing w:line="400" w:lineRule="exact"/>
        <w:ind w:firstLine="420" w:firstLineChars="200"/>
        <w:rPr>
          <w:szCs w:val="24"/>
        </w:rPr>
      </w:pPr>
      <w:r>
        <w:rPr>
          <w:rFonts w:hint="eastAsia"/>
          <w:szCs w:val="24"/>
        </w:rPr>
        <w:t>3.5 分部分项工程量清单项目特征是结合本工程项目的实际情况予以描述的，对清单项目的技术和质量有要求的，见招标文件技术部分。措施项目清单中通用部分遵循计价规范编制，专业工程措施项目按规定和工程实际情况确定。</w:t>
      </w:r>
    </w:p>
    <w:p w14:paraId="387353D8">
      <w:pPr>
        <w:spacing w:line="400" w:lineRule="exact"/>
        <w:ind w:firstLine="420" w:firstLineChars="200"/>
        <w:rPr>
          <w:szCs w:val="24"/>
        </w:rPr>
      </w:pPr>
      <w:r>
        <w:rPr>
          <w:rFonts w:hint="eastAsia"/>
          <w:szCs w:val="24"/>
        </w:rPr>
        <w:t>3.6 招标工程量清单编制范围应与招标文件中明确的工程招标范围一致。工程量清单的组成内容应当完整、项目特征描述应准确全面，与施工图纸保持一致。</w:t>
      </w:r>
    </w:p>
    <w:p w14:paraId="3B644E3A">
      <w:pPr>
        <w:pStyle w:val="3"/>
        <w:rPr>
          <w:rFonts w:ascii="Times New Roman" w:hAnsi="Times New Roman" w:eastAsia="黑体"/>
          <w:b w:val="0"/>
          <w:snapToGrid w:val="0"/>
          <w:sz w:val="28"/>
          <w:szCs w:val="28"/>
        </w:rPr>
      </w:pPr>
      <w:bookmarkStart w:id="173" w:name="_Toc6125"/>
      <w:bookmarkStart w:id="174" w:name="_Toc1960"/>
      <w:bookmarkStart w:id="175" w:name="_Toc19540932"/>
      <w:bookmarkStart w:id="176" w:name="_Toc8663"/>
      <w:bookmarkStart w:id="177" w:name="_Toc36119755"/>
      <w:r>
        <w:rPr>
          <w:rFonts w:hint="eastAsia" w:ascii="Times New Roman" w:hAnsi="Times New Roman" w:eastAsia="黑体"/>
          <w:b w:val="0"/>
          <w:snapToGrid w:val="0"/>
          <w:sz w:val="28"/>
          <w:szCs w:val="28"/>
        </w:rPr>
        <w:t>4. 最高投标限价（招标控制价）编制要求</w:t>
      </w:r>
      <w:bookmarkEnd w:id="173"/>
      <w:bookmarkEnd w:id="174"/>
      <w:bookmarkEnd w:id="175"/>
      <w:bookmarkEnd w:id="176"/>
      <w:bookmarkEnd w:id="177"/>
    </w:p>
    <w:p w14:paraId="1219C8DC">
      <w:pPr>
        <w:spacing w:line="400" w:lineRule="exact"/>
        <w:ind w:firstLine="420" w:firstLineChars="200"/>
        <w:rPr>
          <w:szCs w:val="24"/>
        </w:rPr>
      </w:pPr>
      <w:r>
        <w:rPr>
          <w:rFonts w:hint="eastAsia"/>
          <w:szCs w:val="24"/>
        </w:rPr>
        <w:t>4.1 最高投标限价（招标控制价）编制依据如下：</w:t>
      </w:r>
    </w:p>
    <w:p w14:paraId="023B65D6">
      <w:pPr>
        <w:spacing w:line="400" w:lineRule="exact"/>
        <w:ind w:firstLine="420" w:firstLineChars="200"/>
        <w:rPr>
          <w:szCs w:val="24"/>
        </w:rPr>
      </w:pPr>
      <w:r>
        <w:rPr>
          <w:rFonts w:hint="eastAsia"/>
          <w:szCs w:val="24"/>
        </w:rPr>
        <w:t>（1）2018版安徽省建设工程费用定额；</w:t>
      </w:r>
    </w:p>
    <w:p w14:paraId="3BBE61EA">
      <w:pPr>
        <w:spacing w:line="400" w:lineRule="exact"/>
        <w:ind w:firstLine="420" w:firstLineChars="200"/>
        <w:rPr>
          <w:szCs w:val="24"/>
        </w:rPr>
      </w:pPr>
      <w:r>
        <w:rPr>
          <w:rFonts w:hint="eastAsia"/>
          <w:szCs w:val="24"/>
        </w:rPr>
        <w:t>（2）2018版安徽省建设工程施工机械台班费用编制规则；</w:t>
      </w:r>
    </w:p>
    <w:p w14:paraId="11BF1712">
      <w:pPr>
        <w:spacing w:line="400" w:lineRule="exact"/>
        <w:ind w:firstLine="420" w:firstLineChars="200"/>
        <w:rPr>
          <w:szCs w:val="24"/>
        </w:rPr>
      </w:pPr>
      <w:r>
        <w:rPr>
          <w:rFonts w:hint="eastAsia"/>
          <w:szCs w:val="24"/>
        </w:rPr>
        <w:t>（3）2018版安徽省配套计价定额；</w:t>
      </w:r>
    </w:p>
    <w:p w14:paraId="6AE4B579">
      <w:pPr>
        <w:spacing w:line="400" w:lineRule="exact"/>
        <w:ind w:firstLine="420" w:firstLineChars="200"/>
        <w:rPr>
          <w:szCs w:val="24"/>
        </w:rPr>
      </w:pPr>
      <w:r>
        <w:rPr>
          <w:rFonts w:hint="eastAsia"/>
          <w:szCs w:val="24"/>
        </w:rPr>
        <w:t>（4）《关于贯彻执行2018版安徽省建设工程计价依据的通知》（合造价[2018]13号）及《关于调整合肥市建设工程计价依据增值税税率的通知》（合造价[2019]1号）；</w:t>
      </w:r>
    </w:p>
    <w:p w14:paraId="6312DC0A">
      <w:pPr>
        <w:spacing w:line="400" w:lineRule="exact"/>
        <w:ind w:firstLine="420" w:firstLineChars="200"/>
        <w:rPr>
          <w:szCs w:val="24"/>
        </w:rPr>
      </w:pPr>
      <w:r>
        <w:rPr>
          <w:rFonts w:hint="eastAsia"/>
          <w:szCs w:val="24"/>
        </w:rPr>
        <w:t>（5）建设工程设计文件及相关资料；</w:t>
      </w:r>
    </w:p>
    <w:p w14:paraId="659059DA">
      <w:pPr>
        <w:spacing w:line="400" w:lineRule="exact"/>
        <w:ind w:firstLine="420" w:firstLineChars="200"/>
        <w:rPr>
          <w:szCs w:val="24"/>
        </w:rPr>
      </w:pPr>
      <w:r>
        <w:rPr>
          <w:rFonts w:hint="eastAsia"/>
          <w:szCs w:val="24"/>
        </w:rPr>
        <w:t>（6）与建设项目有关的标准、规范、技术资料；</w:t>
      </w:r>
    </w:p>
    <w:p w14:paraId="6DD3E173">
      <w:pPr>
        <w:spacing w:line="400" w:lineRule="exact"/>
        <w:ind w:firstLine="420" w:firstLineChars="200"/>
        <w:rPr>
          <w:szCs w:val="24"/>
        </w:rPr>
      </w:pPr>
      <w:r>
        <w:rPr>
          <w:rFonts w:hint="eastAsia"/>
          <w:szCs w:val="24"/>
        </w:rPr>
        <w:t xml:space="preserve">（7）招标文件及招标工程量清单及其补充通知答疑纪要； </w:t>
      </w:r>
    </w:p>
    <w:p w14:paraId="747CF023">
      <w:pPr>
        <w:spacing w:line="400" w:lineRule="exact"/>
        <w:ind w:firstLine="420" w:firstLineChars="200"/>
        <w:rPr>
          <w:szCs w:val="24"/>
        </w:rPr>
      </w:pPr>
      <w:r>
        <w:rPr>
          <w:rFonts w:hint="eastAsia"/>
          <w:szCs w:val="24"/>
        </w:rPr>
        <w:t>（8）施工现场情况、工程特点及常规施工方案；</w:t>
      </w:r>
    </w:p>
    <w:p w14:paraId="78155630">
      <w:pPr>
        <w:spacing w:line="400" w:lineRule="exact"/>
        <w:ind w:firstLine="420" w:firstLineChars="200"/>
        <w:rPr>
          <w:szCs w:val="24"/>
        </w:rPr>
      </w:pPr>
      <w:r>
        <w:rPr>
          <w:rFonts w:hint="eastAsia"/>
          <w:szCs w:val="24"/>
        </w:rPr>
        <w:t>（9）工程造价管理机构发布的工程造价信息；</w:t>
      </w:r>
    </w:p>
    <w:p w14:paraId="659869CB">
      <w:pPr>
        <w:spacing w:line="400" w:lineRule="exact"/>
        <w:ind w:firstLine="420" w:firstLineChars="200"/>
        <w:rPr>
          <w:szCs w:val="24"/>
        </w:rPr>
      </w:pPr>
      <w:r>
        <w:rPr>
          <w:rFonts w:hint="eastAsia"/>
          <w:szCs w:val="24"/>
        </w:rPr>
        <w:t>（10）施工期间的风险因素；</w:t>
      </w:r>
    </w:p>
    <w:p w14:paraId="231F826A">
      <w:pPr>
        <w:spacing w:line="400" w:lineRule="exact"/>
        <w:ind w:firstLine="420" w:firstLineChars="200"/>
        <w:rPr>
          <w:szCs w:val="24"/>
        </w:rPr>
      </w:pPr>
      <w:r>
        <w:rPr>
          <w:rFonts w:hint="eastAsia"/>
          <w:szCs w:val="24"/>
        </w:rPr>
        <w:t>（11）其他相关材料。</w:t>
      </w:r>
    </w:p>
    <w:p w14:paraId="0ADAE50B">
      <w:pPr>
        <w:spacing w:line="400" w:lineRule="exact"/>
        <w:ind w:firstLine="420" w:firstLineChars="200"/>
        <w:rPr>
          <w:szCs w:val="24"/>
        </w:rPr>
      </w:pPr>
      <w:r>
        <w:rPr>
          <w:rFonts w:hint="eastAsia"/>
          <w:szCs w:val="24"/>
        </w:rPr>
        <w:t>4.2 最高投标限价（招标控制价）为本次招标工程限定的最高投标限价，应当在工程所在地建设主管部门备案。最高投标限价（招标控制价）不做上调或下浮。如最高投标限价（招标控制价）超过批准的概算，招标人应将其报原概算审批部门审核。</w:t>
      </w:r>
    </w:p>
    <w:p w14:paraId="0A9183E2">
      <w:pPr>
        <w:spacing w:line="400" w:lineRule="exact"/>
        <w:ind w:firstLine="420" w:firstLineChars="200"/>
        <w:rPr>
          <w:szCs w:val="24"/>
        </w:rPr>
      </w:pPr>
      <w:r>
        <w:rPr>
          <w:rFonts w:hint="eastAsia"/>
          <w:szCs w:val="24"/>
        </w:rPr>
        <w:t>4.3 最高投标限价（招标控制价）应采用工程单价计价，正确、全面地使用国家、省市标准、计价定额以及相关文件，成果文件质量应符合相关标准及规程的规定。最高投标限价（招标控制价）包括分部分项工程费、措施项目费、不可竞争费、其他项目费和税金。</w:t>
      </w:r>
    </w:p>
    <w:p w14:paraId="0B7D2103">
      <w:pPr>
        <w:spacing w:line="400" w:lineRule="exact"/>
        <w:ind w:firstLine="420" w:firstLineChars="200"/>
        <w:rPr>
          <w:szCs w:val="24"/>
        </w:rPr>
      </w:pPr>
      <w:r>
        <w:rPr>
          <w:rFonts w:hint="eastAsia"/>
          <w:szCs w:val="24"/>
        </w:rPr>
        <w:t>4.4 分部分项工程费按本招标文件的分部分项工程量清单的特征描述及有关要求，结合第4.1款编制依据确定。</w:t>
      </w:r>
    </w:p>
    <w:p w14:paraId="5A683480">
      <w:pPr>
        <w:spacing w:line="400" w:lineRule="exact"/>
        <w:ind w:firstLine="420" w:firstLineChars="200"/>
        <w:rPr>
          <w:szCs w:val="24"/>
        </w:rPr>
      </w:pPr>
      <w:r>
        <w:rPr>
          <w:rFonts w:hint="eastAsia"/>
          <w:szCs w:val="24"/>
        </w:rPr>
        <w:t>（1）综合单价中人工和施工机械台班单价按省级和工程所在地的市级工程造价管理机构公布的单价计算；</w:t>
      </w:r>
    </w:p>
    <w:p w14:paraId="6AB2E61E">
      <w:pPr>
        <w:spacing w:line="400" w:lineRule="exact"/>
        <w:ind w:firstLine="420" w:firstLineChars="200"/>
        <w:rPr>
          <w:szCs w:val="24"/>
        </w:rPr>
      </w:pPr>
      <w:r>
        <w:rPr>
          <w:rFonts w:hint="eastAsia"/>
          <w:szCs w:val="24"/>
        </w:rPr>
        <w:t>（2）综合单价中材料、工程设备单价按省级和工程所在地的市级工程造价管理机构公布的单价以及本招标文件规定的暂估价、市场调查价格计算；</w:t>
      </w:r>
    </w:p>
    <w:p w14:paraId="6C330202">
      <w:pPr>
        <w:spacing w:line="400" w:lineRule="exact"/>
        <w:ind w:firstLine="420" w:firstLineChars="200"/>
        <w:rPr>
          <w:szCs w:val="24"/>
        </w:rPr>
      </w:pPr>
      <w:r>
        <w:rPr>
          <w:rFonts w:hint="eastAsia"/>
          <w:szCs w:val="24"/>
        </w:rPr>
        <w:t>（3）本招标文件中列有材料、设备暂估价的，按暂估价计算；</w:t>
      </w:r>
    </w:p>
    <w:p w14:paraId="7BE10341">
      <w:pPr>
        <w:spacing w:line="400" w:lineRule="exact"/>
        <w:ind w:firstLine="420" w:firstLineChars="200"/>
        <w:rPr>
          <w:szCs w:val="24"/>
        </w:rPr>
      </w:pPr>
      <w:r>
        <w:rPr>
          <w:rFonts w:hint="eastAsia"/>
          <w:szCs w:val="24"/>
        </w:rPr>
        <w:t>（4）综合单价中人工、材料和施工机械台班消耗量均按2018版安徽省定额消耗量计算；</w:t>
      </w:r>
    </w:p>
    <w:p w14:paraId="0246D0A0">
      <w:pPr>
        <w:spacing w:line="400" w:lineRule="exact"/>
        <w:ind w:firstLine="420" w:firstLineChars="200"/>
        <w:rPr>
          <w:szCs w:val="24"/>
        </w:rPr>
      </w:pPr>
      <w:r>
        <w:rPr>
          <w:rFonts w:hint="eastAsia"/>
          <w:szCs w:val="24"/>
        </w:rPr>
        <w:t>（5）综合单价中综合费费率按2018版安徽省建设工程计价依据及《关于贯彻执行2018版安徽省建设工程计价依据的通知》（合造价[2018]13号）计算；</w:t>
      </w:r>
    </w:p>
    <w:p w14:paraId="71BE2EE9">
      <w:pPr>
        <w:spacing w:line="400" w:lineRule="exact"/>
        <w:ind w:firstLine="420" w:firstLineChars="200"/>
        <w:rPr>
          <w:szCs w:val="24"/>
        </w:rPr>
      </w:pPr>
      <w:r>
        <w:rPr>
          <w:rFonts w:hint="eastAsia"/>
          <w:szCs w:val="24"/>
        </w:rPr>
        <w:t>（6）综合单价中应包括招标文件约定的应由投标人承担的风险范围及其费用，风险按本招标文件第4.1款约定计算。</w:t>
      </w:r>
    </w:p>
    <w:p w14:paraId="281AA7F8">
      <w:pPr>
        <w:spacing w:line="400" w:lineRule="exact"/>
        <w:ind w:firstLine="420" w:firstLineChars="200"/>
        <w:rPr>
          <w:szCs w:val="24"/>
        </w:rPr>
      </w:pPr>
      <w:r>
        <w:rPr>
          <w:rFonts w:hint="eastAsia"/>
          <w:szCs w:val="24"/>
        </w:rPr>
        <w:t>4.5 措施项目费按本招标文件中的措施项目清单，根据拟定的招标文件和常规施工方案确定。对于施工机械设备的选型根据工程特点和施工条件，本着经济实用、先进高效的原则确定。措施项目费依据项目具体情况进行合理确定，复杂项目需按专家论证后的方案编制。</w:t>
      </w:r>
    </w:p>
    <w:p w14:paraId="21AAA14C">
      <w:pPr>
        <w:spacing w:line="400" w:lineRule="exact"/>
        <w:ind w:firstLine="420" w:firstLineChars="200"/>
        <w:rPr>
          <w:szCs w:val="24"/>
        </w:rPr>
      </w:pPr>
      <w:r>
        <w:rPr>
          <w:rFonts w:hint="eastAsia"/>
          <w:szCs w:val="24"/>
        </w:rPr>
        <w:t>4.6 不可竞争费（含安全文明施工费、工程排污费）按本招标文件中的不可竞争项目清单编制确定。</w:t>
      </w:r>
    </w:p>
    <w:p w14:paraId="29FAB009">
      <w:pPr>
        <w:spacing w:line="400" w:lineRule="exact"/>
        <w:ind w:firstLine="420" w:firstLineChars="200"/>
        <w:rPr>
          <w:szCs w:val="24"/>
        </w:rPr>
      </w:pPr>
      <w:r>
        <w:rPr>
          <w:rFonts w:hint="eastAsia"/>
          <w:szCs w:val="24"/>
        </w:rPr>
        <w:t>4.7 其他项目费用应按照下列规定计价:</w:t>
      </w:r>
    </w:p>
    <w:p w14:paraId="1140116E">
      <w:pPr>
        <w:spacing w:line="400" w:lineRule="exact"/>
        <w:ind w:firstLine="420" w:firstLineChars="200"/>
        <w:rPr>
          <w:szCs w:val="24"/>
        </w:rPr>
      </w:pPr>
      <w:r>
        <w:rPr>
          <w:rFonts w:hint="eastAsia"/>
          <w:szCs w:val="24"/>
        </w:rPr>
        <w:t>（1）暂列金额按招标工程量清单中列出的金额填写；</w:t>
      </w:r>
    </w:p>
    <w:p w14:paraId="61E9595D">
      <w:pPr>
        <w:spacing w:line="400" w:lineRule="exact"/>
        <w:ind w:firstLine="420" w:firstLineChars="200"/>
        <w:rPr>
          <w:szCs w:val="24"/>
        </w:rPr>
      </w:pPr>
      <w:r>
        <w:rPr>
          <w:rFonts w:hint="eastAsia"/>
          <w:szCs w:val="24"/>
        </w:rPr>
        <w:t>（2）专业工程暂估价按招标工程量清单中列出的金额填写；</w:t>
      </w:r>
    </w:p>
    <w:p w14:paraId="50162BA9">
      <w:pPr>
        <w:spacing w:line="400" w:lineRule="exact"/>
        <w:ind w:firstLine="420" w:firstLineChars="200"/>
        <w:rPr>
          <w:szCs w:val="24"/>
        </w:rPr>
      </w:pPr>
      <w:r>
        <w:rPr>
          <w:rFonts w:hint="eastAsia"/>
          <w:szCs w:val="24"/>
        </w:rPr>
        <w:t xml:space="preserve">（3）计日工按招标人列出项目和数量，结合第4.1款编制依据的要求确定综合单价并计算费用； </w:t>
      </w:r>
    </w:p>
    <w:p w14:paraId="7D95DB4A">
      <w:pPr>
        <w:spacing w:line="400" w:lineRule="exact"/>
        <w:ind w:firstLine="420" w:firstLineChars="200"/>
        <w:rPr>
          <w:szCs w:val="24"/>
        </w:rPr>
      </w:pPr>
      <w:r>
        <w:rPr>
          <w:rFonts w:hint="eastAsia"/>
          <w:szCs w:val="24"/>
        </w:rPr>
        <w:t>（4）总承包服务费根据招标文件列出的内容和要求计算。</w:t>
      </w:r>
    </w:p>
    <w:p w14:paraId="790AB179">
      <w:pPr>
        <w:spacing w:line="400" w:lineRule="exact"/>
        <w:ind w:firstLine="420" w:firstLineChars="200"/>
        <w:rPr>
          <w:szCs w:val="24"/>
        </w:rPr>
      </w:pPr>
      <w:r>
        <w:rPr>
          <w:rFonts w:hint="eastAsia"/>
          <w:szCs w:val="24"/>
        </w:rPr>
        <w:t>4.8 税金（增值税）按税金项目清单，结合第4.1款编制依据的要求编制，不得降低标准。</w:t>
      </w:r>
    </w:p>
    <w:p w14:paraId="2A475815">
      <w:pPr>
        <w:pStyle w:val="3"/>
        <w:rPr>
          <w:rFonts w:ascii="Times New Roman" w:hAnsi="Times New Roman" w:eastAsia="黑体"/>
          <w:b w:val="0"/>
          <w:snapToGrid w:val="0"/>
          <w:sz w:val="28"/>
          <w:szCs w:val="28"/>
        </w:rPr>
      </w:pPr>
      <w:bookmarkStart w:id="178" w:name="_Toc81"/>
      <w:bookmarkStart w:id="179" w:name="_Toc30334"/>
      <w:bookmarkStart w:id="180" w:name="_Toc18438"/>
      <w:bookmarkStart w:id="181" w:name="_Toc19540933"/>
      <w:bookmarkStart w:id="182" w:name="_Toc36119756"/>
      <w:r>
        <w:rPr>
          <w:rFonts w:hint="eastAsia" w:ascii="Times New Roman" w:hAnsi="Times New Roman" w:eastAsia="黑体"/>
          <w:b w:val="0"/>
          <w:snapToGrid w:val="0"/>
          <w:sz w:val="28"/>
          <w:szCs w:val="28"/>
        </w:rPr>
        <w:t>5. 投标报价编制要求</w:t>
      </w:r>
      <w:bookmarkEnd w:id="178"/>
      <w:bookmarkEnd w:id="179"/>
      <w:bookmarkEnd w:id="180"/>
      <w:bookmarkEnd w:id="181"/>
      <w:bookmarkEnd w:id="182"/>
    </w:p>
    <w:p w14:paraId="0E0AF17A">
      <w:pPr>
        <w:spacing w:line="400" w:lineRule="exact"/>
        <w:ind w:firstLine="420" w:firstLineChars="200"/>
        <w:rPr>
          <w:szCs w:val="24"/>
        </w:rPr>
      </w:pPr>
      <w:r>
        <w:rPr>
          <w:rFonts w:hint="eastAsia"/>
          <w:szCs w:val="24"/>
        </w:rPr>
        <w:t>5.1 投标报价编制依据如下：</w:t>
      </w:r>
    </w:p>
    <w:p w14:paraId="54DE929C">
      <w:pPr>
        <w:spacing w:line="400" w:lineRule="exact"/>
        <w:ind w:firstLine="420" w:firstLineChars="200"/>
        <w:rPr>
          <w:szCs w:val="24"/>
        </w:rPr>
      </w:pPr>
      <w:r>
        <w:rPr>
          <w:rFonts w:hint="eastAsia"/>
          <w:szCs w:val="24"/>
        </w:rPr>
        <w:t>（1）2018版安徽省建设工程费用定额；</w:t>
      </w:r>
    </w:p>
    <w:p w14:paraId="79AB5AD6">
      <w:pPr>
        <w:spacing w:line="400" w:lineRule="exact"/>
        <w:ind w:firstLine="420" w:firstLineChars="200"/>
        <w:rPr>
          <w:szCs w:val="24"/>
        </w:rPr>
      </w:pPr>
      <w:r>
        <w:rPr>
          <w:rFonts w:hint="eastAsia"/>
          <w:szCs w:val="24"/>
        </w:rPr>
        <w:t>（2）2018版安徽省建设工程施工机械台班费用编制规则；</w:t>
      </w:r>
    </w:p>
    <w:p w14:paraId="3DC8C0B9">
      <w:pPr>
        <w:spacing w:line="400" w:lineRule="exact"/>
        <w:ind w:firstLine="420" w:firstLineChars="200"/>
        <w:rPr>
          <w:szCs w:val="24"/>
        </w:rPr>
      </w:pPr>
      <w:r>
        <w:rPr>
          <w:rFonts w:hint="eastAsia"/>
          <w:szCs w:val="24"/>
        </w:rPr>
        <w:t>（3）2018版安徽省配套计价定额；</w:t>
      </w:r>
    </w:p>
    <w:p w14:paraId="59965225">
      <w:pPr>
        <w:spacing w:line="400" w:lineRule="exact"/>
        <w:ind w:firstLine="420" w:firstLineChars="200"/>
        <w:rPr>
          <w:szCs w:val="24"/>
        </w:rPr>
      </w:pPr>
      <w:r>
        <w:rPr>
          <w:rFonts w:hint="eastAsia"/>
          <w:szCs w:val="24"/>
        </w:rPr>
        <w:t xml:space="preserve">（4）《关于贯彻执行2018版安徽省建设工程计价依据的通知》（合造价[2018]13号）及《关于调整合肥市建设工程计价依据增值税税率的通知》（合造价[2019]1号）； </w:t>
      </w:r>
    </w:p>
    <w:p w14:paraId="76DA4695">
      <w:pPr>
        <w:spacing w:line="400" w:lineRule="exact"/>
        <w:ind w:firstLine="420" w:firstLineChars="200"/>
        <w:rPr>
          <w:szCs w:val="24"/>
        </w:rPr>
      </w:pPr>
      <w:r>
        <w:rPr>
          <w:rFonts w:hint="eastAsia"/>
          <w:szCs w:val="24"/>
        </w:rPr>
        <w:t>（5）建设工程设计文件及相关资料；</w:t>
      </w:r>
    </w:p>
    <w:p w14:paraId="2ED2A69C">
      <w:pPr>
        <w:spacing w:line="400" w:lineRule="exact"/>
        <w:ind w:firstLine="420" w:firstLineChars="200"/>
        <w:rPr>
          <w:szCs w:val="24"/>
        </w:rPr>
      </w:pPr>
      <w:r>
        <w:rPr>
          <w:rFonts w:hint="eastAsia"/>
          <w:szCs w:val="24"/>
        </w:rPr>
        <w:t>（6）与建设项目有关的标准、规范、技术资料；</w:t>
      </w:r>
    </w:p>
    <w:p w14:paraId="624E7879">
      <w:pPr>
        <w:spacing w:line="400" w:lineRule="exact"/>
        <w:ind w:firstLine="420" w:firstLineChars="200"/>
        <w:rPr>
          <w:szCs w:val="24"/>
        </w:rPr>
      </w:pPr>
      <w:r>
        <w:rPr>
          <w:rFonts w:hint="eastAsia"/>
          <w:szCs w:val="24"/>
        </w:rPr>
        <w:t xml:space="preserve">（7）招标文件及招标工程量清单及其补充通知答疑纪要； </w:t>
      </w:r>
    </w:p>
    <w:p w14:paraId="7770B6EF">
      <w:pPr>
        <w:spacing w:line="400" w:lineRule="exact"/>
        <w:ind w:firstLine="420" w:firstLineChars="200"/>
        <w:rPr>
          <w:szCs w:val="24"/>
        </w:rPr>
      </w:pPr>
      <w:r>
        <w:rPr>
          <w:rFonts w:hint="eastAsia"/>
          <w:szCs w:val="24"/>
        </w:rPr>
        <w:t>（8）施工现场情况、工程特点及拟定的投标施工组织设计；</w:t>
      </w:r>
    </w:p>
    <w:p w14:paraId="3A26EE21">
      <w:pPr>
        <w:spacing w:line="400" w:lineRule="exact"/>
        <w:ind w:firstLine="420" w:firstLineChars="200"/>
        <w:rPr>
          <w:szCs w:val="24"/>
        </w:rPr>
      </w:pPr>
      <w:r>
        <w:rPr>
          <w:rFonts w:hint="eastAsia"/>
          <w:szCs w:val="24"/>
        </w:rPr>
        <w:t>（9）市场价格信息或参照工程造价管理机构发布的工程造价信息；</w:t>
      </w:r>
    </w:p>
    <w:p w14:paraId="028A32D9">
      <w:pPr>
        <w:spacing w:line="400" w:lineRule="exact"/>
        <w:ind w:firstLine="420" w:firstLineChars="200"/>
        <w:rPr>
          <w:szCs w:val="24"/>
        </w:rPr>
      </w:pPr>
      <w:r>
        <w:rPr>
          <w:rFonts w:hint="eastAsia"/>
          <w:szCs w:val="24"/>
        </w:rPr>
        <w:t>（10）合同执行期间由投标人承担的风险因素；</w:t>
      </w:r>
    </w:p>
    <w:p w14:paraId="0ACD4D8E">
      <w:pPr>
        <w:spacing w:line="400" w:lineRule="exact"/>
        <w:ind w:firstLine="420" w:firstLineChars="200"/>
        <w:rPr>
          <w:szCs w:val="24"/>
        </w:rPr>
      </w:pPr>
      <w:r>
        <w:rPr>
          <w:rFonts w:hint="eastAsia"/>
          <w:szCs w:val="24"/>
        </w:rPr>
        <w:t>（11）其他相关材料。</w:t>
      </w:r>
    </w:p>
    <w:p w14:paraId="01250633">
      <w:pPr>
        <w:spacing w:line="400" w:lineRule="exact"/>
        <w:ind w:firstLine="420" w:firstLineChars="200"/>
        <w:rPr>
          <w:szCs w:val="24"/>
        </w:rPr>
      </w:pPr>
      <w:r>
        <w:rPr>
          <w:rFonts w:hint="eastAsia"/>
          <w:szCs w:val="24"/>
        </w:rPr>
        <w:t>5.2 投标人应仔细阅读招标文件，了解拟投标合同段的全部工程内容。投标人的投标报价应是招标文件所确定的招标范围内全部工程内容的价格体现，但其投标报价不得低于投标人个别成本价。</w:t>
      </w:r>
    </w:p>
    <w:p w14:paraId="046B932F">
      <w:pPr>
        <w:spacing w:line="400" w:lineRule="exact"/>
        <w:ind w:firstLine="420" w:firstLineChars="200"/>
        <w:rPr>
          <w:szCs w:val="24"/>
        </w:rPr>
      </w:pPr>
      <w:r>
        <w:rPr>
          <w:rFonts w:hint="eastAsia"/>
          <w:szCs w:val="24"/>
        </w:rPr>
        <w:t>5.3 投标人应按招标人提供的招标工程量清单填报综合单价和合价，未填报的综合单价和合价，视为此项费用已合在工程量清单的其他综合单价和合价中。</w:t>
      </w:r>
    </w:p>
    <w:p w14:paraId="2DFA334B">
      <w:pPr>
        <w:spacing w:line="400" w:lineRule="exact"/>
        <w:ind w:firstLine="420" w:firstLineChars="200"/>
        <w:rPr>
          <w:szCs w:val="24"/>
        </w:rPr>
      </w:pPr>
      <w:r>
        <w:rPr>
          <w:rFonts w:hint="eastAsia"/>
          <w:szCs w:val="24"/>
        </w:rPr>
        <w:t>5.4 分部分项工程费根据招标文件中的工程量清单项目及项目特征描述等确定综合单价。其中综合单价是指完成一个规定清单项目所需的人工费、材料和工程设备费、施工机具使用费和综合费（企业管理费和利润）以及一定范围内投标人承担的的风险费用。</w:t>
      </w:r>
    </w:p>
    <w:p w14:paraId="728E8BAC">
      <w:pPr>
        <w:spacing w:line="400" w:lineRule="exact"/>
        <w:ind w:firstLine="420" w:firstLineChars="200"/>
        <w:rPr>
          <w:szCs w:val="24"/>
        </w:rPr>
      </w:pPr>
      <w:r>
        <w:rPr>
          <w:rFonts w:hint="eastAsia"/>
          <w:szCs w:val="24"/>
        </w:rPr>
        <w:t>5.5 措施项目费根据招标文件中的工程量清单措施项目，结合第5.1款编制依据确定。投标人对招标人所列的措施项目可根据工程实际情况结合施工组织设计进行增补。</w:t>
      </w:r>
    </w:p>
    <w:p w14:paraId="6191496E">
      <w:pPr>
        <w:spacing w:line="400" w:lineRule="exact"/>
        <w:ind w:firstLine="420" w:firstLineChars="200"/>
        <w:rPr>
          <w:szCs w:val="24"/>
        </w:rPr>
      </w:pPr>
      <w:r>
        <w:rPr>
          <w:rFonts w:hint="eastAsia"/>
          <w:szCs w:val="24"/>
        </w:rPr>
        <w:t>5.6 不可竞争费（含安全文明施工费、工程排污费）根据工程量清单不可竞争项目，结合第5.1款编制依据确定，安全文明施工费费率不得调整。</w:t>
      </w:r>
    </w:p>
    <w:p w14:paraId="1DBAFC38">
      <w:pPr>
        <w:spacing w:line="400" w:lineRule="exact"/>
        <w:ind w:firstLine="420" w:firstLineChars="200"/>
        <w:rPr>
          <w:szCs w:val="24"/>
        </w:rPr>
      </w:pPr>
      <w:r>
        <w:rPr>
          <w:rFonts w:hint="eastAsia"/>
          <w:szCs w:val="24"/>
        </w:rPr>
        <w:t>5.7 其他项目费用应按照下列规定计价:</w:t>
      </w:r>
    </w:p>
    <w:p w14:paraId="296AC278">
      <w:pPr>
        <w:spacing w:line="400" w:lineRule="exact"/>
        <w:ind w:firstLine="420" w:firstLineChars="200"/>
        <w:rPr>
          <w:szCs w:val="24"/>
        </w:rPr>
      </w:pPr>
      <w:r>
        <w:rPr>
          <w:rFonts w:hint="eastAsia"/>
          <w:szCs w:val="24"/>
        </w:rPr>
        <w:t>（1）暂列金额按招标工程量清单中列出的金额填写，不得更改；</w:t>
      </w:r>
    </w:p>
    <w:p w14:paraId="7FB32C10">
      <w:pPr>
        <w:spacing w:line="400" w:lineRule="exact"/>
        <w:ind w:firstLine="420" w:firstLineChars="200"/>
        <w:rPr>
          <w:szCs w:val="24"/>
        </w:rPr>
      </w:pPr>
      <w:r>
        <w:rPr>
          <w:rFonts w:hint="eastAsia"/>
          <w:szCs w:val="24"/>
        </w:rPr>
        <w:t>（2）专业工程暂估价按招标工程量清单中列出的金额填写，不得更改；</w:t>
      </w:r>
    </w:p>
    <w:p w14:paraId="17AE640A">
      <w:pPr>
        <w:spacing w:line="400" w:lineRule="exact"/>
        <w:ind w:firstLine="420" w:firstLineChars="200"/>
        <w:rPr>
          <w:szCs w:val="24"/>
        </w:rPr>
      </w:pPr>
      <w:r>
        <w:rPr>
          <w:rFonts w:hint="eastAsia"/>
          <w:szCs w:val="24"/>
        </w:rPr>
        <w:t xml:space="preserve">（3）计日工按招标人列出项目和数量，结合第5.1款编制依据的要求确定综合单价并计算费用； </w:t>
      </w:r>
    </w:p>
    <w:p w14:paraId="1840A1C9">
      <w:pPr>
        <w:spacing w:line="400" w:lineRule="exact"/>
        <w:ind w:firstLine="420" w:firstLineChars="200"/>
        <w:rPr>
          <w:szCs w:val="24"/>
        </w:rPr>
      </w:pPr>
      <w:r>
        <w:rPr>
          <w:rFonts w:hint="eastAsia"/>
          <w:szCs w:val="24"/>
        </w:rPr>
        <w:t>（4）总承包服务费根据招标文件列出的内容和要求计算。</w:t>
      </w:r>
    </w:p>
    <w:p w14:paraId="028B60CF">
      <w:pPr>
        <w:spacing w:line="400" w:lineRule="exact"/>
        <w:ind w:firstLine="420" w:firstLineChars="200"/>
        <w:rPr>
          <w:szCs w:val="24"/>
        </w:rPr>
      </w:pPr>
      <w:r>
        <w:rPr>
          <w:rFonts w:hint="eastAsia"/>
          <w:szCs w:val="24"/>
        </w:rPr>
        <w:t>5.8 税金（增值税）按税金项目清单，结合第5.1款编制依据的要求编制，不得调整。</w:t>
      </w:r>
    </w:p>
    <w:p w14:paraId="380D8EEF">
      <w:pPr>
        <w:spacing w:line="400" w:lineRule="exact"/>
        <w:ind w:firstLine="420" w:firstLineChars="200"/>
        <w:rPr>
          <w:szCs w:val="24"/>
        </w:rPr>
      </w:pPr>
      <w:r>
        <w:rPr>
          <w:rFonts w:hint="eastAsia"/>
          <w:szCs w:val="24"/>
        </w:rPr>
        <w:t>5.9 投标报价编制注意事项</w:t>
      </w:r>
    </w:p>
    <w:p w14:paraId="7B314755">
      <w:pPr>
        <w:spacing w:line="400" w:lineRule="exact"/>
        <w:ind w:firstLine="420" w:firstLineChars="200"/>
        <w:rPr>
          <w:szCs w:val="24"/>
        </w:rPr>
      </w:pPr>
      <w:r>
        <w:rPr>
          <w:rFonts w:hint="eastAsia"/>
          <w:szCs w:val="24"/>
        </w:rPr>
        <w:t>（1）除可调整价格的主要材料和甲供材及实行暂估价的材料及设备以外，其他由投标单位自行采购的材料确定投标报价时应充分考虑材料价格上涨等市场风险因素，中标后不作调整，综合单价中的材料费应包含材料运杂费、采保费等一切应有费用；</w:t>
      </w:r>
    </w:p>
    <w:p w14:paraId="2C8A76ED">
      <w:pPr>
        <w:spacing w:line="400" w:lineRule="exact"/>
        <w:ind w:firstLine="420" w:firstLineChars="200"/>
        <w:rPr>
          <w:szCs w:val="24"/>
        </w:rPr>
      </w:pPr>
      <w:r>
        <w:rPr>
          <w:rFonts w:hint="eastAsia"/>
          <w:szCs w:val="24"/>
        </w:rPr>
        <w:t>（2）结算时实行暂估价的材料和设备的价差仅计取税金，不再计取其他费用；</w:t>
      </w:r>
    </w:p>
    <w:p w14:paraId="57011D11">
      <w:pPr>
        <w:spacing w:line="400" w:lineRule="exact"/>
        <w:ind w:firstLine="420" w:firstLineChars="200"/>
        <w:rPr>
          <w:szCs w:val="24"/>
        </w:rPr>
      </w:pPr>
      <w:r>
        <w:rPr>
          <w:rFonts w:hint="eastAsia"/>
          <w:szCs w:val="24"/>
        </w:rPr>
        <w:t>（3）本招标工程的施工地点为本须知前附表所述，投标人应自行到施工现场踏勘以充分了解工地位置、情况、道路、储存空间、装卸限制及任何其它足以影响投标报价的情况，任何因忽视或误解施工场地情况而导致的索赔或工期延长申请将不被批准。对于受施工现场场地限制，如需要另外寻找场地解决临时住宿、材料及设备堆放，由此所产生的费用应包含在投标报价范围内，招标人不再承担该费用；</w:t>
      </w:r>
    </w:p>
    <w:p w14:paraId="60C4ED24">
      <w:pPr>
        <w:spacing w:line="400" w:lineRule="exact"/>
        <w:ind w:firstLine="420" w:firstLineChars="200"/>
        <w:rPr>
          <w:szCs w:val="24"/>
        </w:rPr>
      </w:pPr>
      <w:r>
        <w:rPr>
          <w:rFonts w:hint="eastAsia"/>
          <w:szCs w:val="24"/>
        </w:rPr>
        <w:t>（4）开标前，投标人应认真对照施工设计图纸等文件核对招标人提供的工程量清单，发现工程量存在项目划分误差、计量单位误差、数量误差、遗漏项目的，必须在招标文件规定的时间内向招标人提出异议或修正要求，否则招标人不予认可；</w:t>
      </w:r>
    </w:p>
    <w:p w14:paraId="7DCA615B">
      <w:pPr>
        <w:spacing w:line="400" w:lineRule="exact"/>
        <w:ind w:firstLine="420" w:firstLineChars="200"/>
        <w:rPr>
          <w:szCs w:val="24"/>
        </w:rPr>
      </w:pPr>
      <w:r>
        <w:rPr>
          <w:rFonts w:hint="eastAsia"/>
          <w:szCs w:val="24"/>
        </w:rPr>
        <w:t>（5）招标人对异议或修正要求应进行核实，确认工程量单项子目误差在±3%（含±3%）以内的，招标人可不予调整工程量，投标人应将其误差考虑在综合单价内；若有遗漏项目或单项子目工程量误差超过±3%的，招标人应进行修正并重新公布准确的工程量清单；</w:t>
      </w:r>
    </w:p>
    <w:p w14:paraId="5805D3BF">
      <w:pPr>
        <w:spacing w:line="400" w:lineRule="exact"/>
        <w:ind w:firstLine="420" w:firstLineChars="200"/>
        <w:rPr>
          <w:szCs w:val="24"/>
        </w:rPr>
      </w:pPr>
      <w:r>
        <w:rPr>
          <w:rFonts w:hint="eastAsia"/>
          <w:szCs w:val="24"/>
        </w:rPr>
        <w:t>（6）若工程量清单遗漏项目或单项子目工程量误差超过±3%且招标人未在规定的时间前进行修正并重新发布的，对于合肥市市级投资建设项目，其工程变更程序按照《合肥市人民政府办公厅关于印发合肥市市级投资建设项目变更管理规定的通知》（合政办〔2018〕64号）执行，且招标人仅对工程量清单遗漏项目、单项子目工程量误差超过±3%的子目合计金额增减幅度超过签约合同价金额3%的部分的予以调整，其中工程量清单遗漏项目按照合同约定的变更估价规定执行，单项子目工程量误差超过±3%的子目按照中标（成交）单价执行；</w:t>
      </w:r>
    </w:p>
    <w:p w14:paraId="7299319B">
      <w:pPr>
        <w:spacing w:line="400" w:lineRule="exact"/>
        <w:ind w:firstLine="420" w:firstLineChars="200"/>
        <w:rPr>
          <w:szCs w:val="24"/>
        </w:rPr>
      </w:pPr>
      <w:r>
        <w:rPr>
          <w:rFonts w:hint="eastAsia"/>
          <w:szCs w:val="24"/>
        </w:rPr>
        <w:t>（7）除合同另有约定外，中标人在工程量清单报价书中所报的综合单价在施工图纸和合同约定范围一律不予调整；</w:t>
      </w:r>
    </w:p>
    <w:p w14:paraId="7A1104BC">
      <w:pPr>
        <w:spacing w:line="400" w:lineRule="exact"/>
        <w:ind w:firstLine="420" w:firstLineChars="200"/>
        <w:rPr>
          <w:szCs w:val="24"/>
        </w:rPr>
      </w:pPr>
      <w:r>
        <w:rPr>
          <w:rFonts w:hint="eastAsia"/>
          <w:szCs w:val="24"/>
        </w:rPr>
        <w:t>（8）本招标工程不接受恶意不平衡报价，不保证最低价中标。</w:t>
      </w:r>
    </w:p>
    <w:p w14:paraId="79EFA332">
      <w:pPr>
        <w:rPr>
          <w:rFonts w:eastAsia="黑体"/>
          <w:b/>
          <w:bCs/>
          <w:snapToGrid w:val="0"/>
          <w:sz w:val="44"/>
          <w:szCs w:val="42"/>
        </w:rPr>
      </w:pPr>
    </w:p>
    <w:p w14:paraId="79549B96">
      <w:pPr>
        <w:pStyle w:val="21"/>
        <w:rPr>
          <w:rStyle w:val="27"/>
          <w:b/>
          <w:bCs/>
        </w:rPr>
      </w:pPr>
      <w:bookmarkStart w:id="183" w:name="_Toc23307"/>
      <w:bookmarkStart w:id="184" w:name="_Toc26161"/>
      <w:bookmarkStart w:id="185" w:name="_Toc36119757"/>
      <w:r>
        <w:rPr>
          <w:rStyle w:val="27"/>
          <w:b/>
          <w:bCs/>
        </w:rPr>
        <w:t>第六章</w:t>
      </w:r>
      <w:r>
        <w:rPr>
          <w:rStyle w:val="27"/>
          <w:rFonts w:hint="eastAsia"/>
          <w:b/>
          <w:bCs/>
        </w:rPr>
        <w:t xml:space="preserve"> 工程量清单及</w:t>
      </w:r>
      <w:r>
        <w:rPr>
          <w:rStyle w:val="27"/>
          <w:b/>
          <w:bCs/>
        </w:rPr>
        <w:t>图纸</w:t>
      </w:r>
    </w:p>
    <w:bookmarkEnd w:id="183"/>
    <w:p w14:paraId="3DE1D562">
      <w:pPr>
        <w:pStyle w:val="21"/>
        <w:keepNext/>
        <w:keepLines/>
        <w:shd w:val="clear" w:color="auto" w:fill="auto"/>
        <w:spacing w:after="586" w:line="240" w:lineRule="auto"/>
        <w:ind w:left="20"/>
        <w:outlineLvl w:val="0"/>
        <w:rPr>
          <w:rFonts w:ascii="Times New Roman" w:eastAsia="黑体"/>
          <w:sz w:val="36"/>
          <w:szCs w:val="36"/>
          <w:lang w:val="zh-CN"/>
        </w:rPr>
      </w:pPr>
      <w:bookmarkStart w:id="186" w:name="_Toc2955"/>
      <w:bookmarkStart w:id="187" w:name="_Toc10108"/>
      <w:r>
        <w:rPr>
          <w:rFonts w:ascii="Times New Roman" w:eastAsia="黑体"/>
          <w:bCs w:val="0"/>
          <w:snapToGrid w:val="0"/>
          <w:color w:val="000000"/>
          <w:kern w:val="44"/>
          <w:sz w:val="44"/>
          <w:szCs w:val="42"/>
          <w:lang w:val="zh-CN"/>
        </w:rPr>
        <w:t>（另册）</w:t>
      </w:r>
      <w:bookmarkEnd w:id="184"/>
      <w:bookmarkEnd w:id="185"/>
      <w:bookmarkEnd w:id="186"/>
      <w:bookmarkEnd w:id="187"/>
    </w:p>
    <w:p w14:paraId="1BC3EF3D">
      <w:pPr>
        <w:adjustRightInd w:val="0"/>
        <w:snapToGrid w:val="0"/>
        <w:spacing w:line="360" w:lineRule="auto"/>
        <w:ind w:firstLine="880" w:firstLineChars="200"/>
        <w:jc w:val="left"/>
        <w:rPr>
          <w:rFonts w:eastAsia="黑体"/>
          <w:bCs/>
          <w:snapToGrid w:val="0"/>
          <w:color w:val="000000"/>
          <w:kern w:val="44"/>
          <w:sz w:val="44"/>
          <w:szCs w:val="42"/>
          <w:lang w:val="zh-CN"/>
        </w:rPr>
      </w:pPr>
    </w:p>
    <w:p w14:paraId="46BDBA72">
      <w:pPr>
        <w:adjustRightInd w:val="0"/>
        <w:snapToGrid w:val="0"/>
        <w:spacing w:line="360" w:lineRule="auto"/>
        <w:ind w:firstLine="880" w:firstLineChars="200"/>
        <w:jc w:val="left"/>
        <w:rPr>
          <w:rFonts w:eastAsia="黑体"/>
          <w:bCs/>
          <w:snapToGrid w:val="0"/>
          <w:color w:val="000000"/>
          <w:kern w:val="44"/>
          <w:sz w:val="44"/>
          <w:szCs w:val="42"/>
          <w:lang w:val="zh-CN"/>
        </w:rPr>
      </w:pPr>
    </w:p>
    <w:p w14:paraId="77A68599">
      <w:pPr>
        <w:pStyle w:val="21"/>
        <w:rPr>
          <w:rStyle w:val="28"/>
          <w:b/>
          <w:bCs/>
          <w:lang w:val="zh-CN"/>
        </w:rPr>
      </w:pPr>
      <w:bookmarkStart w:id="188" w:name="_Toc19345"/>
      <w:r>
        <w:rPr>
          <w:rStyle w:val="27"/>
          <w:b/>
          <w:bCs/>
        </w:rPr>
        <w:t>第</w:t>
      </w:r>
      <w:r>
        <w:rPr>
          <w:rStyle w:val="27"/>
          <w:rFonts w:hint="eastAsia"/>
          <w:b/>
          <w:bCs/>
          <w:lang w:val="en-US"/>
        </w:rPr>
        <w:t>七</w:t>
      </w:r>
      <w:r>
        <w:rPr>
          <w:rStyle w:val="27"/>
          <w:b/>
          <w:bCs/>
        </w:rPr>
        <w:t>章 投标文件格式</w:t>
      </w:r>
      <w:bookmarkEnd w:id="152"/>
      <w:bookmarkEnd w:id="153"/>
      <w:bookmarkEnd w:id="154"/>
      <w:bookmarkEnd w:id="155"/>
      <w:bookmarkEnd w:id="156"/>
      <w:bookmarkEnd w:id="188"/>
    </w:p>
    <w:p w14:paraId="4A6024C9">
      <w:pPr>
        <w:pStyle w:val="4"/>
        <w:rPr>
          <w:rFonts w:hint="eastAsia"/>
          <w:lang w:val="zh-CN"/>
        </w:rPr>
      </w:pPr>
    </w:p>
    <w:p w14:paraId="65700391">
      <w:pPr>
        <w:pStyle w:val="21"/>
        <w:keepNext/>
        <w:keepLines/>
        <w:shd w:val="clear" w:color="auto" w:fill="auto"/>
        <w:spacing w:after="586" w:line="240" w:lineRule="auto"/>
        <w:outlineLvl w:val="9"/>
        <w:rPr>
          <w:rFonts w:ascii="Times New Roman" w:eastAsia="黑体"/>
        </w:rPr>
      </w:pPr>
      <w:r>
        <w:rPr>
          <w:rFonts w:hint="eastAsia" w:ascii="Times New Roman"/>
        </w:rPr>
        <w:t>（项目名称）</w:t>
      </w:r>
      <w:r>
        <w:rPr>
          <w:rFonts w:hint="eastAsia" w:ascii="Times New Roman"/>
          <w:u w:val="single"/>
        </w:rPr>
        <w:t xml:space="preserve"> </w:t>
      </w:r>
      <w:r>
        <w:rPr>
          <w:rFonts w:hint="eastAsia" w:ascii="Times New Roman" w:eastAsia="黑体"/>
          <w:u w:val="single"/>
        </w:rPr>
        <w:t xml:space="preserve">     </w:t>
      </w:r>
      <w:r>
        <w:rPr>
          <w:rFonts w:hint="eastAsia" w:ascii="Times New Roman" w:eastAsia="黑体"/>
        </w:rPr>
        <w:t>标段施工招标</w:t>
      </w:r>
    </w:p>
    <w:p w14:paraId="1545B5A2">
      <w:pPr>
        <w:jc w:val="center"/>
        <w:rPr>
          <w:rFonts w:eastAsia="黑体"/>
          <w:sz w:val="28"/>
          <w:szCs w:val="28"/>
        </w:rPr>
      </w:pPr>
    </w:p>
    <w:p w14:paraId="2E55C72B">
      <w:pPr>
        <w:jc w:val="center"/>
        <w:rPr>
          <w:rFonts w:eastAsia="黑体"/>
          <w:sz w:val="28"/>
          <w:szCs w:val="28"/>
        </w:rPr>
      </w:pPr>
    </w:p>
    <w:p w14:paraId="2BC682C1">
      <w:pPr>
        <w:keepNext/>
        <w:keepLines/>
        <w:spacing w:before="260" w:after="260" w:line="416" w:lineRule="auto"/>
        <w:jc w:val="center"/>
        <w:outlineLvl w:val="1"/>
        <w:rPr>
          <w:rFonts w:eastAsia="黑体"/>
          <w:bCs/>
          <w:sz w:val="32"/>
          <w:szCs w:val="32"/>
        </w:rPr>
      </w:pPr>
      <w:bookmarkStart w:id="189" w:name="_Toc19540938"/>
      <w:bookmarkStart w:id="190" w:name="_Toc36119760"/>
      <w:bookmarkStart w:id="191" w:name="_Toc31579"/>
      <w:bookmarkStart w:id="192" w:name="_Toc11355"/>
      <w:bookmarkStart w:id="193" w:name="_Toc1067"/>
      <w:bookmarkStart w:id="194" w:name="_Toc11122"/>
      <w:bookmarkStart w:id="195" w:name="_Toc16479"/>
      <w:r>
        <w:rPr>
          <w:rFonts w:hint="eastAsia" w:eastAsia="黑体"/>
          <w:bCs/>
          <w:sz w:val="44"/>
          <w:szCs w:val="44"/>
        </w:rPr>
        <w:t>投标文件</w:t>
      </w:r>
      <w:r>
        <w:rPr>
          <w:bCs/>
          <w:sz w:val="44"/>
          <w:szCs w:val="44"/>
        </w:rPr>
        <w:br w:type="textWrapping"/>
      </w:r>
      <w:r>
        <w:rPr>
          <w:rFonts w:hint="eastAsia" w:eastAsia="黑体"/>
          <w:bCs/>
          <w:sz w:val="32"/>
          <w:szCs w:val="32"/>
        </w:rPr>
        <w:t>（技术文件）</w:t>
      </w:r>
      <w:bookmarkEnd w:id="189"/>
      <w:bookmarkEnd w:id="190"/>
      <w:bookmarkEnd w:id="191"/>
      <w:bookmarkEnd w:id="192"/>
      <w:bookmarkEnd w:id="193"/>
      <w:bookmarkEnd w:id="194"/>
      <w:bookmarkEnd w:id="195"/>
    </w:p>
    <w:p w14:paraId="7993008C">
      <w:pPr>
        <w:jc w:val="center"/>
        <w:rPr>
          <w:rFonts w:eastAsia="黑体"/>
          <w:sz w:val="32"/>
          <w:szCs w:val="32"/>
        </w:rPr>
      </w:pPr>
    </w:p>
    <w:p w14:paraId="17890448">
      <w:pPr>
        <w:jc w:val="center"/>
        <w:rPr>
          <w:rFonts w:eastAsia="黑体"/>
          <w:sz w:val="32"/>
          <w:szCs w:val="32"/>
        </w:rPr>
      </w:pPr>
    </w:p>
    <w:p w14:paraId="7E75F6B9">
      <w:pPr>
        <w:jc w:val="center"/>
        <w:rPr>
          <w:rFonts w:eastAsia="黑体"/>
          <w:sz w:val="32"/>
          <w:szCs w:val="32"/>
        </w:rPr>
      </w:pPr>
    </w:p>
    <w:p w14:paraId="0E871CBC">
      <w:pPr>
        <w:jc w:val="center"/>
        <w:rPr>
          <w:rFonts w:eastAsia="黑体"/>
          <w:sz w:val="32"/>
          <w:szCs w:val="32"/>
        </w:rPr>
      </w:pPr>
    </w:p>
    <w:p w14:paraId="7065FFC8">
      <w:pPr>
        <w:jc w:val="center"/>
        <w:rPr>
          <w:rFonts w:eastAsia="黑体"/>
          <w:sz w:val="32"/>
          <w:szCs w:val="32"/>
        </w:rPr>
      </w:pPr>
    </w:p>
    <w:p w14:paraId="1412914C">
      <w:pPr>
        <w:jc w:val="center"/>
        <w:rPr>
          <w:rFonts w:eastAsia="黑体"/>
          <w:sz w:val="32"/>
          <w:szCs w:val="32"/>
        </w:rPr>
      </w:pPr>
    </w:p>
    <w:p w14:paraId="275CCAFB">
      <w:pPr>
        <w:jc w:val="center"/>
        <w:rPr>
          <w:rFonts w:eastAsia="黑体"/>
          <w:sz w:val="32"/>
          <w:szCs w:val="32"/>
        </w:rPr>
      </w:pPr>
    </w:p>
    <w:p w14:paraId="2DE3C5C4">
      <w:pPr>
        <w:jc w:val="center"/>
        <w:rPr>
          <w:rFonts w:eastAsia="黑体"/>
          <w:sz w:val="32"/>
          <w:szCs w:val="32"/>
        </w:rPr>
      </w:pPr>
    </w:p>
    <w:p w14:paraId="1626CE17">
      <w:pPr>
        <w:jc w:val="center"/>
        <w:rPr>
          <w:rFonts w:eastAsia="黑体"/>
          <w:sz w:val="32"/>
          <w:szCs w:val="32"/>
        </w:rPr>
      </w:pPr>
    </w:p>
    <w:p w14:paraId="69BD12AF">
      <w:pPr>
        <w:jc w:val="center"/>
        <w:rPr>
          <w:rFonts w:eastAsia="黑体"/>
          <w:sz w:val="32"/>
          <w:szCs w:val="32"/>
        </w:rPr>
      </w:pPr>
    </w:p>
    <w:p w14:paraId="1582A49C">
      <w:pPr>
        <w:jc w:val="center"/>
        <w:rPr>
          <w:rFonts w:eastAsia="黑体"/>
          <w:sz w:val="32"/>
          <w:szCs w:val="32"/>
        </w:rPr>
      </w:pPr>
    </w:p>
    <w:p w14:paraId="4FF1B0C4">
      <w:pPr>
        <w:jc w:val="center"/>
        <w:rPr>
          <w:rFonts w:eastAsia="黑体"/>
          <w:sz w:val="32"/>
          <w:szCs w:val="32"/>
        </w:rPr>
      </w:pPr>
    </w:p>
    <w:p w14:paraId="06171C9C">
      <w:pPr>
        <w:jc w:val="center"/>
        <w:rPr>
          <w:rFonts w:eastAsia="黑体"/>
          <w:sz w:val="32"/>
          <w:szCs w:val="32"/>
        </w:rPr>
      </w:pPr>
    </w:p>
    <w:p w14:paraId="3FB13223">
      <w:pPr>
        <w:jc w:val="center"/>
        <w:rPr>
          <w:rFonts w:eastAsia="黑体"/>
          <w:sz w:val="32"/>
          <w:szCs w:val="32"/>
        </w:rPr>
      </w:pPr>
    </w:p>
    <w:p w14:paraId="0BDD3BAA">
      <w:pPr>
        <w:spacing w:line="360" w:lineRule="auto"/>
        <w:jc w:val="center"/>
        <w:rPr>
          <w:rFonts w:eastAsia="黑体"/>
          <w:sz w:val="28"/>
          <w:szCs w:val="28"/>
        </w:rPr>
      </w:pPr>
      <w:r>
        <w:rPr>
          <w:rFonts w:hint="eastAsia" w:eastAsia="黑体"/>
          <w:sz w:val="28"/>
          <w:szCs w:val="28"/>
        </w:rPr>
        <w:t>投标人：</w:t>
      </w:r>
      <w:r>
        <w:rPr>
          <w:rFonts w:hint="eastAsia" w:eastAsia="黑体"/>
          <w:sz w:val="28"/>
          <w:szCs w:val="28"/>
          <w:u w:val="single"/>
        </w:rPr>
        <w:t xml:space="preserve">                               </w:t>
      </w:r>
      <w:r>
        <w:rPr>
          <w:rFonts w:hint="eastAsia" w:eastAsia="黑体"/>
          <w:sz w:val="28"/>
          <w:szCs w:val="28"/>
        </w:rPr>
        <w:t>（盖单位章）</w:t>
      </w:r>
    </w:p>
    <w:p w14:paraId="41469F28">
      <w:pPr>
        <w:jc w:val="center"/>
        <w:rPr>
          <w:rFonts w:eastAsia="黑体"/>
          <w:sz w:val="28"/>
          <w:szCs w:val="28"/>
        </w:rPr>
      </w:pPr>
      <w:r>
        <w:rPr>
          <w:rFonts w:hint="eastAsia" w:eastAsia="黑体"/>
          <w:sz w:val="28"/>
          <w:szCs w:val="28"/>
          <w:u w:val="single"/>
        </w:rPr>
        <w:t xml:space="preserve">         </w:t>
      </w:r>
      <w:r>
        <w:rPr>
          <w:rFonts w:hint="eastAsia" w:eastAsia="黑体"/>
          <w:sz w:val="28"/>
          <w:szCs w:val="28"/>
        </w:rPr>
        <w:t>年</w:t>
      </w:r>
      <w:r>
        <w:rPr>
          <w:rFonts w:hint="eastAsia" w:eastAsia="黑体"/>
          <w:sz w:val="28"/>
          <w:szCs w:val="28"/>
          <w:u w:val="single"/>
        </w:rPr>
        <w:t xml:space="preserve">         </w:t>
      </w:r>
      <w:r>
        <w:rPr>
          <w:rFonts w:hint="eastAsia" w:eastAsia="黑体"/>
          <w:sz w:val="28"/>
          <w:szCs w:val="28"/>
        </w:rPr>
        <w:t>月</w:t>
      </w:r>
      <w:r>
        <w:rPr>
          <w:rFonts w:hint="eastAsia" w:eastAsia="黑体"/>
          <w:sz w:val="28"/>
          <w:szCs w:val="28"/>
          <w:u w:val="single"/>
        </w:rPr>
        <w:t xml:space="preserve">         </w:t>
      </w:r>
      <w:r>
        <w:rPr>
          <w:rFonts w:hint="eastAsia" w:eastAsia="黑体"/>
          <w:sz w:val="28"/>
          <w:szCs w:val="28"/>
        </w:rPr>
        <w:t>日</w:t>
      </w:r>
    </w:p>
    <w:p w14:paraId="4D54966D">
      <w:pPr>
        <w:rPr>
          <w:rFonts w:eastAsia="黑体"/>
          <w:sz w:val="28"/>
          <w:szCs w:val="28"/>
        </w:rPr>
      </w:pPr>
      <w:r>
        <w:rPr>
          <w:rFonts w:eastAsia="黑体"/>
          <w:sz w:val="28"/>
          <w:szCs w:val="28"/>
        </w:rPr>
        <w:br w:type="page"/>
      </w:r>
    </w:p>
    <w:p w14:paraId="411BA5B8">
      <w:pPr>
        <w:spacing w:before="240" w:after="240"/>
        <w:jc w:val="center"/>
        <w:rPr>
          <w:rFonts w:eastAsia="黑体"/>
          <w:sz w:val="28"/>
          <w:szCs w:val="28"/>
        </w:rPr>
      </w:pPr>
      <w:r>
        <w:rPr>
          <w:rFonts w:hint="eastAsia" w:eastAsia="黑体"/>
          <w:sz w:val="28"/>
          <w:szCs w:val="28"/>
        </w:rPr>
        <w:t>目  录</w:t>
      </w:r>
    </w:p>
    <w:p w14:paraId="5CB160AE">
      <w:pPr>
        <w:spacing w:line="600" w:lineRule="exact"/>
        <w:rPr>
          <w:szCs w:val="21"/>
        </w:rPr>
      </w:pPr>
      <w:r>
        <w:rPr>
          <w:szCs w:val="21"/>
        </w:rPr>
        <w:t>一、投标函（不含报价）</w:t>
      </w:r>
    </w:p>
    <w:p w14:paraId="1BD6CF13">
      <w:pPr>
        <w:spacing w:line="600" w:lineRule="exact"/>
        <w:rPr>
          <w:szCs w:val="21"/>
        </w:rPr>
      </w:pPr>
      <w:r>
        <w:rPr>
          <w:szCs w:val="21"/>
        </w:rPr>
        <w:t>二、法定代表人身份证明或授权委托书</w:t>
      </w:r>
    </w:p>
    <w:p w14:paraId="1AD2D9E8">
      <w:pPr>
        <w:spacing w:line="600" w:lineRule="exact"/>
        <w:rPr>
          <w:szCs w:val="21"/>
        </w:rPr>
      </w:pPr>
      <w:r>
        <w:rPr>
          <w:szCs w:val="21"/>
        </w:rPr>
        <w:t>三、资格审查资料</w:t>
      </w:r>
    </w:p>
    <w:p w14:paraId="25FE5021">
      <w:pPr>
        <w:spacing w:line="600" w:lineRule="exact"/>
        <w:rPr>
          <w:szCs w:val="21"/>
        </w:rPr>
      </w:pPr>
      <w:r>
        <w:rPr>
          <w:szCs w:val="21"/>
        </w:rPr>
        <w:t>（一）投标人基本情况表</w:t>
      </w:r>
    </w:p>
    <w:p w14:paraId="2854DA55">
      <w:pPr>
        <w:spacing w:line="600" w:lineRule="exact"/>
        <w:rPr>
          <w:szCs w:val="21"/>
        </w:rPr>
      </w:pPr>
      <w:r>
        <w:rPr>
          <w:szCs w:val="21"/>
        </w:rPr>
        <w:t>（二）投标人近年完成的类似项目情况表</w:t>
      </w:r>
    </w:p>
    <w:p w14:paraId="5A48A846">
      <w:pPr>
        <w:spacing w:line="600" w:lineRule="exact"/>
        <w:rPr>
          <w:szCs w:val="21"/>
        </w:rPr>
      </w:pPr>
      <w:r>
        <w:rPr>
          <w:szCs w:val="21"/>
        </w:rPr>
        <w:t>四、投标人信誉情况</w:t>
      </w:r>
    </w:p>
    <w:p w14:paraId="306C6484">
      <w:pPr>
        <w:spacing w:line="600" w:lineRule="exact"/>
        <w:rPr>
          <w:szCs w:val="21"/>
        </w:rPr>
      </w:pPr>
      <w:r>
        <w:rPr>
          <w:szCs w:val="21"/>
        </w:rPr>
        <w:t>五、施工组织设计</w:t>
      </w:r>
    </w:p>
    <w:p w14:paraId="4958E2AF">
      <w:pPr>
        <w:spacing w:line="600" w:lineRule="exact"/>
        <w:rPr>
          <w:szCs w:val="21"/>
        </w:rPr>
      </w:pPr>
      <w:r>
        <w:rPr>
          <w:szCs w:val="21"/>
        </w:rPr>
        <w:t>六、</w:t>
      </w:r>
      <w:r>
        <w:rPr>
          <w:bCs/>
          <w:szCs w:val="21"/>
        </w:rPr>
        <w:t>新材料、新工艺、新技术应用（如有）</w:t>
      </w:r>
    </w:p>
    <w:p w14:paraId="71FD3F65">
      <w:pPr>
        <w:spacing w:line="600" w:lineRule="exact"/>
        <w:rPr>
          <w:szCs w:val="21"/>
        </w:rPr>
      </w:pPr>
      <w:r>
        <w:rPr>
          <w:szCs w:val="21"/>
        </w:rPr>
        <w:t>七、其他资料</w:t>
      </w:r>
      <w:r>
        <w:br w:type="page"/>
      </w:r>
    </w:p>
    <w:p w14:paraId="1B75EE25">
      <w:pPr>
        <w:keepNext/>
        <w:keepLines/>
        <w:spacing w:before="120" w:after="120" w:line="360" w:lineRule="auto"/>
        <w:jc w:val="center"/>
        <w:outlineLvl w:val="2"/>
        <w:rPr>
          <w:rFonts w:eastAsia="黑体"/>
          <w:bCs/>
          <w:sz w:val="24"/>
          <w:szCs w:val="24"/>
        </w:rPr>
      </w:pPr>
      <w:bookmarkStart w:id="196" w:name="_Toc460660223"/>
      <w:bookmarkEnd w:id="196"/>
      <w:bookmarkStart w:id="197" w:name="_Toc10010"/>
      <w:bookmarkEnd w:id="197"/>
      <w:bookmarkStart w:id="198" w:name="_Toc460227108"/>
      <w:bookmarkEnd w:id="198"/>
      <w:bookmarkStart w:id="199" w:name="_Toc224103496"/>
      <w:bookmarkEnd w:id="199"/>
      <w:bookmarkStart w:id="200" w:name="_Toc7996"/>
      <w:bookmarkEnd w:id="200"/>
      <w:bookmarkStart w:id="201" w:name="_Toc5227"/>
      <w:bookmarkEnd w:id="201"/>
      <w:bookmarkStart w:id="202" w:name="_Toc390411621"/>
      <w:bookmarkEnd w:id="202"/>
      <w:bookmarkStart w:id="203" w:name="_Toc6469"/>
      <w:bookmarkEnd w:id="203"/>
      <w:bookmarkStart w:id="204" w:name="_Toc421917001"/>
      <w:bookmarkEnd w:id="204"/>
      <w:bookmarkStart w:id="205" w:name="_Toc2837"/>
      <w:bookmarkEnd w:id="205"/>
      <w:r>
        <w:rPr>
          <w:rFonts w:hint="eastAsia" w:eastAsia="黑体"/>
          <w:bCs/>
          <w:sz w:val="24"/>
          <w:szCs w:val="24"/>
        </w:rPr>
        <w:t>一、投标函（不含报价）</w:t>
      </w:r>
    </w:p>
    <w:p w14:paraId="163DBD03">
      <w:pPr>
        <w:spacing w:before="48" w:after="48" w:line="360" w:lineRule="auto"/>
        <w:rPr>
          <w:u w:val="single"/>
        </w:rPr>
      </w:pPr>
      <w:r>
        <w:rPr>
          <w:rFonts w:hint="eastAsia" w:eastAsia="黑体"/>
          <w:szCs w:val="21"/>
          <w:u w:val="single"/>
        </w:rPr>
        <w:t xml:space="preserve">       </w:t>
      </w:r>
      <w:r>
        <w:rPr>
          <w:szCs w:val="21"/>
        </w:rPr>
        <w:t>（招标人名称）：</w:t>
      </w:r>
    </w:p>
    <w:p w14:paraId="5988DF13">
      <w:pPr>
        <w:tabs>
          <w:tab w:val="left" w:pos="7560"/>
        </w:tabs>
        <w:spacing w:before="48" w:after="48" w:line="360" w:lineRule="auto"/>
        <w:ind w:firstLine="420"/>
        <w:jc w:val="left"/>
      </w:pPr>
      <w:r>
        <w:t>1. 我方已仔细研究</w:t>
      </w:r>
      <w:r>
        <w:rPr>
          <w:u w:val="single"/>
        </w:rPr>
        <w:t xml:space="preserve">       </w:t>
      </w:r>
      <w:r>
        <w:t>（项目名称）</w:t>
      </w:r>
      <w:r>
        <w:rPr>
          <w:u w:val="single"/>
        </w:rPr>
        <w:t xml:space="preserve">   </w:t>
      </w:r>
      <w:r>
        <w:t>标段招标文件的全部内容，在考察工程现场后，愿以</w:t>
      </w:r>
      <w:r>
        <w:rPr>
          <w:szCs w:val="21"/>
          <w:u w:val="single"/>
        </w:rPr>
        <w:t>报价文件投标函中</w:t>
      </w:r>
      <w:r>
        <w:rPr>
          <w:u w:val="single"/>
        </w:rPr>
        <w:t>的</w:t>
      </w:r>
      <w:r>
        <w:t>投标总报价，按合同约定实施劳务相关工作，修补项目中的任何缺陷。</w:t>
      </w:r>
    </w:p>
    <w:p w14:paraId="72E2C493">
      <w:pPr>
        <w:tabs>
          <w:tab w:val="left" w:pos="7560"/>
        </w:tabs>
        <w:spacing w:before="48" w:after="48" w:line="360" w:lineRule="auto"/>
        <w:ind w:firstLine="420"/>
        <w:jc w:val="left"/>
      </w:pPr>
      <w:r>
        <w:t>2. 我方承诺在招标文件规定的投标有效期内不撤销投标文件。</w:t>
      </w:r>
    </w:p>
    <w:p w14:paraId="009C3218">
      <w:pPr>
        <w:tabs>
          <w:tab w:val="left" w:pos="7560"/>
        </w:tabs>
        <w:spacing w:before="48" w:after="48" w:line="360" w:lineRule="auto"/>
        <w:ind w:firstLine="420"/>
        <w:jc w:val="left"/>
      </w:pPr>
      <w:r>
        <w:t>3. 工程质量：</w:t>
      </w:r>
      <w:r>
        <w:rPr>
          <w:u w:val="single"/>
        </w:rPr>
        <w:t xml:space="preserve">        </w:t>
      </w:r>
      <w:r>
        <w:t>；工期：</w:t>
      </w:r>
      <w:r>
        <w:rPr>
          <w:u w:val="single"/>
        </w:rPr>
        <w:t xml:space="preserve">        </w:t>
      </w:r>
      <w:r>
        <w:t>日历天。</w:t>
      </w:r>
    </w:p>
    <w:p w14:paraId="033A6B69">
      <w:pPr>
        <w:tabs>
          <w:tab w:val="left" w:pos="7560"/>
        </w:tabs>
        <w:spacing w:before="48" w:after="48" w:line="360" w:lineRule="auto"/>
        <w:ind w:firstLine="420"/>
        <w:jc w:val="left"/>
        <w:rPr>
          <w:bCs/>
          <w:szCs w:val="32"/>
        </w:rPr>
      </w:pPr>
      <w:r>
        <w:rPr>
          <w:bCs/>
          <w:szCs w:val="32"/>
        </w:rPr>
        <w:t>4. 如我方中标，我方承诺：</w:t>
      </w:r>
    </w:p>
    <w:p w14:paraId="73374075">
      <w:pPr>
        <w:spacing w:before="48" w:after="48" w:line="360" w:lineRule="auto"/>
        <w:ind w:firstLine="368"/>
        <w:rPr>
          <w:bCs/>
          <w:szCs w:val="32"/>
        </w:rPr>
      </w:pPr>
      <w:r>
        <w:rPr>
          <w:bCs/>
          <w:szCs w:val="32"/>
        </w:rPr>
        <w:t>（1）在收到中标通知书后，在中标通知书规定的期限内与你方签订合同；</w:t>
      </w:r>
    </w:p>
    <w:p w14:paraId="29B0BF61">
      <w:pPr>
        <w:spacing w:before="48" w:after="48" w:line="360" w:lineRule="auto"/>
        <w:ind w:firstLine="368"/>
        <w:rPr>
          <w:bCs/>
          <w:szCs w:val="32"/>
        </w:rPr>
      </w:pPr>
      <w:r>
        <w:rPr>
          <w:bCs/>
          <w:szCs w:val="32"/>
        </w:rPr>
        <w:t>（2）在签订合同时不向你方提出附加条件；</w:t>
      </w:r>
    </w:p>
    <w:p w14:paraId="7CAAA28F">
      <w:pPr>
        <w:spacing w:before="48" w:after="48" w:line="360" w:lineRule="auto"/>
        <w:ind w:firstLine="368"/>
        <w:rPr>
          <w:bCs/>
          <w:szCs w:val="32"/>
        </w:rPr>
      </w:pPr>
      <w:r>
        <w:rPr>
          <w:bCs/>
          <w:szCs w:val="32"/>
        </w:rPr>
        <w:t>（3）按照招标文件要求提交履约保证金；</w:t>
      </w:r>
    </w:p>
    <w:p w14:paraId="392B3C3D">
      <w:pPr>
        <w:spacing w:before="48" w:after="48" w:line="360" w:lineRule="auto"/>
        <w:ind w:firstLine="368"/>
        <w:rPr>
          <w:bCs/>
          <w:szCs w:val="32"/>
        </w:rPr>
      </w:pPr>
      <w:r>
        <w:rPr>
          <w:bCs/>
          <w:szCs w:val="32"/>
        </w:rPr>
        <w:t>（4）在合同约定的期限内完成合同规定的全部义务；</w:t>
      </w:r>
    </w:p>
    <w:p w14:paraId="4AB2C667">
      <w:pPr>
        <w:spacing w:before="48" w:after="48" w:line="360" w:lineRule="auto"/>
        <w:ind w:firstLine="368"/>
        <w:rPr>
          <w:bCs/>
          <w:szCs w:val="32"/>
        </w:rPr>
      </w:pPr>
      <w:r>
        <w:rPr>
          <w:bCs/>
          <w:szCs w:val="32"/>
        </w:rPr>
        <w:t>（5）在你方和我方进行合同谈判之前，我方将按照合同附件提出的最低要求填报派驻本标段的其他管理和技术人员及主要机械设备，经你方审批后作为派驻本标段的项目管理机构主要人员和主要设备且不进行更换。如我方拟派驻的人员和设备不满足合同附件要求，你方有权取消我方中标资格；</w:t>
      </w:r>
    </w:p>
    <w:p w14:paraId="477239E1">
      <w:pPr>
        <w:spacing w:before="48" w:after="48" w:line="360" w:lineRule="auto"/>
        <w:ind w:firstLine="368"/>
      </w:pPr>
      <w:r>
        <w:rPr>
          <w:bCs/>
          <w:szCs w:val="32"/>
        </w:rPr>
        <w:t>（6）</w:t>
      </w:r>
      <w:r>
        <w:t>按照《纳税人跨县（市、区）提供建筑服务增值税征收管理暂行办法》（国家税务总局公告2016年第17号）规定，在建筑服务发生地及时足额预缴增值税（适用于注册地不在合肥市行政区域范围（含四县一市）的中标人）；</w:t>
      </w:r>
    </w:p>
    <w:p w14:paraId="04234C20">
      <w:pPr>
        <w:spacing w:before="48" w:after="48" w:line="360" w:lineRule="auto"/>
        <w:ind w:firstLine="368"/>
        <w:rPr>
          <w:bCs/>
          <w:szCs w:val="32"/>
        </w:rPr>
      </w:pPr>
      <w:r>
        <w:rPr>
          <w:bCs/>
          <w:szCs w:val="32"/>
        </w:rPr>
        <w:t>（7）投标报价中已包含招标文件公布的施工扬尘污染防治措施费用，我方将按照招标文件要求对农民工工资、扬尘污染防治进行办理专户设立、工资支付等事宜。</w:t>
      </w:r>
    </w:p>
    <w:p w14:paraId="592C23DE">
      <w:pPr>
        <w:spacing w:before="48" w:after="48" w:line="360" w:lineRule="auto"/>
        <w:ind w:firstLine="368"/>
        <w:rPr>
          <w:bCs/>
          <w:szCs w:val="32"/>
        </w:rPr>
      </w:pPr>
      <w:r>
        <w:rPr>
          <w:bCs/>
          <w:szCs w:val="32"/>
        </w:rPr>
        <w:t>5.</w:t>
      </w:r>
      <w:r>
        <w:rPr>
          <w:szCs w:val="21"/>
        </w:rPr>
        <w:t xml:space="preserve"> 我方在此声明，所递交的投标文件及有关资料内容完整、真实和准确。</w:t>
      </w:r>
    </w:p>
    <w:p w14:paraId="0D68D6FD">
      <w:pPr>
        <w:spacing w:before="48" w:after="48" w:line="360" w:lineRule="auto"/>
        <w:ind w:firstLine="368"/>
        <w:rPr>
          <w:bCs/>
          <w:szCs w:val="32"/>
        </w:rPr>
      </w:pPr>
      <w:r>
        <w:rPr>
          <w:bCs/>
          <w:szCs w:val="32"/>
        </w:rPr>
        <w:t>6. 除非另外达成协议并生效，你方的中标通知书和本投标文件以及招标文件、招标文件澄清、修改、补充文件将成为约束双方的合同文件的组成部分。</w:t>
      </w:r>
    </w:p>
    <w:p w14:paraId="0A0C6B80">
      <w:pPr>
        <w:spacing w:before="48" w:after="48" w:line="360" w:lineRule="auto"/>
        <w:ind w:firstLine="368"/>
        <w:rPr>
          <w:bCs/>
          <w:szCs w:val="32"/>
        </w:rPr>
      </w:pPr>
      <w:r>
        <w:rPr>
          <w:bCs/>
          <w:szCs w:val="32"/>
        </w:rPr>
        <w:t>7. 我方承诺：至投标截止时间为止，我公司、我公司法定代表人及拟派的项目经理（项目负责人）均未被人民检察院列入行贿犯罪档案。</w:t>
      </w:r>
    </w:p>
    <w:p w14:paraId="1984BAD6">
      <w:pPr>
        <w:spacing w:before="48" w:after="48" w:line="360" w:lineRule="auto"/>
        <w:ind w:firstLine="368"/>
        <w:rPr>
          <w:bCs/>
          <w:szCs w:val="21"/>
          <w:u w:val="single"/>
        </w:rPr>
      </w:pPr>
      <w:r>
        <w:rPr>
          <w:bCs/>
          <w:szCs w:val="21"/>
        </w:rPr>
        <w:t>投 标 人：</w:t>
      </w:r>
      <w:r>
        <w:rPr>
          <w:bCs/>
          <w:szCs w:val="21"/>
          <w:u w:val="single"/>
        </w:rPr>
        <w:t xml:space="preserve">                                             </w:t>
      </w:r>
      <w:r>
        <w:rPr>
          <w:bCs/>
          <w:szCs w:val="21"/>
        </w:rPr>
        <w:t>（盖单位章）</w:t>
      </w:r>
    </w:p>
    <w:p w14:paraId="1400531A">
      <w:pPr>
        <w:spacing w:before="48" w:after="48" w:line="360" w:lineRule="auto"/>
        <w:ind w:firstLine="368"/>
        <w:rPr>
          <w:szCs w:val="21"/>
          <w:u w:val="single"/>
        </w:rPr>
      </w:pPr>
      <w:r>
        <w:rPr>
          <w:szCs w:val="21"/>
        </w:rPr>
        <w:t>法定代表人：</w:t>
      </w:r>
      <w:r>
        <w:rPr>
          <w:szCs w:val="21"/>
          <w:u w:val="single"/>
        </w:rPr>
        <w:t xml:space="preserve">                                           </w:t>
      </w:r>
      <w:r>
        <w:rPr>
          <w:szCs w:val="21"/>
        </w:rPr>
        <w:t>（签字或盖章）</w:t>
      </w:r>
    </w:p>
    <w:p w14:paraId="6B80B820">
      <w:pPr>
        <w:spacing w:before="48" w:after="48" w:line="360" w:lineRule="auto"/>
        <w:ind w:firstLine="368"/>
        <w:rPr>
          <w:szCs w:val="21"/>
          <w:u w:val="single"/>
        </w:rPr>
      </w:pPr>
      <w:r>
        <w:rPr>
          <w:szCs w:val="21"/>
        </w:rPr>
        <w:t>单位地址：</w:t>
      </w:r>
      <w:r>
        <w:rPr>
          <w:szCs w:val="21"/>
          <w:u w:val="single"/>
        </w:rPr>
        <w:t xml:space="preserve">                                                       </w:t>
      </w:r>
    </w:p>
    <w:p w14:paraId="44249FDB">
      <w:pPr>
        <w:spacing w:before="48" w:after="48" w:line="360" w:lineRule="auto"/>
        <w:ind w:firstLine="420"/>
        <w:rPr>
          <w:szCs w:val="21"/>
          <w:u w:val="single"/>
        </w:rPr>
      </w:pPr>
      <w:r>
        <w:rPr>
          <w:bCs/>
          <w:szCs w:val="21"/>
        </w:rPr>
        <w:t>邮政编码</w:t>
      </w:r>
      <w:r>
        <w:rPr>
          <w:szCs w:val="21"/>
        </w:rPr>
        <w:t>：</w:t>
      </w:r>
      <w:r>
        <w:rPr>
          <w:bCs/>
          <w:szCs w:val="32"/>
          <w:u w:val="single"/>
        </w:rPr>
        <w:t xml:space="preserve">           </w:t>
      </w:r>
      <w:r>
        <w:rPr>
          <w:szCs w:val="21"/>
        </w:rPr>
        <w:t>电话：</w:t>
      </w:r>
      <w:r>
        <w:rPr>
          <w:bCs/>
          <w:szCs w:val="32"/>
          <w:u w:val="single"/>
        </w:rPr>
        <w:t xml:space="preserve">           </w:t>
      </w:r>
      <w:r>
        <w:rPr>
          <w:szCs w:val="21"/>
        </w:rPr>
        <w:t xml:space="preserve"> 传真：</w:t>
      </w:r>
      <w:r>
        <w:rPr>
          <w:szCs w:val="21"/>
          <w:u w:val="single"/>
        </w:rPr>
        <w:t xml:space="preserve">                    </w:t>
      </w:r>
    </w:p>
    <w:p w14:paraId="4C1574B1">
      <w:pPr>
        <w:spacing w:before="48" w:after="48" w:line="360" w:lineRule="auto"/>
        <w:ind w:firstLine="368"/>
        <w:rPr>
          <w:szCs w:val="21"/>
        </w:rPr>
      </w:pPr>
      <w:r>
        <w:rPr>
          <w:szCs w:val="21"/>
        </w:rPr>
        <w:t>投标人基本账户开户名：</w:t>
      </w:r>
      <w:r>
        <w:rPr>
          <w:szCs w:val="21"/>
          <w:u w:val="single"/>
        </w:rPr>
        <w:tab/>
      </w:r>
      <w:r>
        <w:rPr>
          <w:szCs w:val="21"/>
          <w:u w:val="single"/>
        </w:rPr>
        <w:tab/>
      </w:r>
      <w:r>
        <w:rPr>
          <w:szCs w:val="21"/>
          <w:u w:val="single"/>
        </w:rPr>
        <w:t xml:space="preserve"> </w:t>
      </w:r>
      <w:r>
        <w:rPr>
          <w:szCs w:val="21"/>
        </w:rPr>
        <w:t>账号：</w:t>
      </w:r>
      <w:r>
        <w:rPr>
          <w:szCs w:val="21"/>
          <w:u w:val="single"/>
        </w:rPr>
        <w:tab/>
      </w:r>
      <w:r>
        <w:rPr>
          <w:szCs w:val="21"/>
          <w:u w:val="single"/>
        </w:rPr>
        <w:tab/>
      </w:r>
      <w:r>
        <w:rPr>
          <w:szCs w:val="21"/>
          <w:u w:val="single"/>
        </w:rPr>
        <w:tab/>
      </w:r>
      <w:r>
        <w:rPr>
          <w:szCs w:val="21"/>
          <w:u w:val="single"/>
        </w:rPr>
        <w:t xml:space="preserve">   </w:t>
      </w:r>
      <w:r>
        <w:rPr>
          <w:szCs w:val="21"/>
        </w:rPr>
        <w:t>开户行：</w:t>
      </w:r>
      <w:r>
        <w:rPr>
          <w:szCs w:val="21"/>
          <w:u w:val="single"/>
        </w:rPr>
        <w:t xml:space="preserve">         </w:t>
      </w:r>
    </w:p>
    <w:p w14:paraId="6E2A85DC">
      <w:pPr>
        <w:spacing w:before="48" w:after="48" w:line="360" w:lineRule="auto"/>
        <w:ind w:firstLine="368"/>
        <w:jc w:val="left"/>
        <w:rPr>
          <w:szCs w:val="21"/>
        </w:rPr>
      </w:pPr>
      <w:r>
        <w:rPr>
          <w:bCs/>
          <w:szCs w:val="21"/>
        </w:rPr>
        <w:t>日期</w:t>
      </w:r>
      <w:r>
        <w:rPr>
          <w:szCs w:val="21"/>
        </w:rPr>
        <w:t>：</w:t>
      </w:r>
      <w:r>
        <w:rPr>
          <w:bCs/>
          <w:szCs w:val="32"/>
          <w:u w:val="single"/>
        </w:rPr>
        <w:t xml:space="preserve">          </w:t>
      </w:r>
      <w:r>
        <w:rPr>
          <w:szCs w:val="21"/>
        </w:rPr>
        <w:t>年</w:t>
      </w:r>
      <w:r>
        <w:rPr>
          <w:bCs/>
          <w:szCs w:val="32"/>
          <w:u w:val="single"/>
        </w:rPr>
        <w:t xml:space="preserve">          </w:t>
      </w:r>
      <w:r>
        <w:rPr>
          <w:szCs w:val="21"/>
        </w:rPr>
        <w:t>月</w:t>
      </w:r>
      <w:r>
        <w:rPr>
          <w:bCs/>
          <w:szCs w:val="32"/>
          <w:u w:val="single"/>
        </w:rPr>
        <w:t xml:space="preserve">          </w:t>
      </w:r>
      <w:r>
        <w:rPr>
          <w:szCs w:val="21"/>
        </w:rPr>
        <w:t>日</w:t>
      </w:r>
    </w:p>
    <w:p w14:paraId="705E47C6">
      <w:pPr>
        <w:spacing w:before="48" w:after="48" w:line="360" w:lineRule="auto"/>
        <w:ind w:firstLine="560"/>
        <w:jc w:val="center"/>
        <w:rPr>
          <w:rFonts w:eastAsia="黑体"/>
          <w:bCs/>
          <w:sz w:val="24"/>
          <w:szCs w:val="24"/>
        </w:rPr>
      </w:pPr>
      <w:bookmarkStart w:id="206" w:name="_Toc2736"/>
      <w:bookmarkEnd w:id="206"/>
      <w:bookmarkStart w:id="207" w:name="_Toc8373"/>
      <w:bookmarkEnd w:id="207"/>
      <w:bookmarkStart w:id="208" w:name="_Toc16283"/>
      <w:bookmarkEnd w:id="208"/>
      <w:bookmarkStart w:id="209" w:name="_Toc15991"/>
      <w:bookmarkEnd w:id="209"/>
      <w:bookmarkStart w:id="210" w:name="_Toc8313"/>
      <w:bookmarkEnd w:id="210"/>
      <w:r>
        <w:rPr>
          <w:rFonts w:ascii="黑体" w:hAnsi="黑体" w:eastAsia="黑体"/>
          <w:sz w:val="32"/>
          <w:szCs w:val="32"/>
        </w:rPr>
        <w:t>二、法定代表人身份证明或授权委托书</w:t>
      </w:r>
    </w:p>
    <w:p w14:paraId="6BF464B3">
      <w:pPr>
        <w:spacing w:line="360" w:lineRule="auto"/>
        <w:ind w:firstLine="1164"/>
        <w:rPr>
          <w:b/>
          <w:bCs/>
          <w:sz w:val="28"/>
        </w:rPr>
      </w:pPr>
    </w:p>
    <w:p w14:paraId="19C804EA">
      <w:pPr>
        <w:jc w:val="center"/>
        <w:rPr>
          <w:rFonts w:eastAsia="黑体"/>
          <w:bCs/>
          <w:sz w:val="24"/>
          <w:szCs w:val="24"/>
        </w:rPr>
      </w:pPr>
      <w:r>
        <w:rPr>
          <w:rFonts w:hint="eastAsia" w:eastAsia="黑体"/>
          <w:bCs/>
          <w:sz w:val="24"/>
          <w:szCs w:val="24"/>
        </w:rPr>
        <w:t>法定代表人身份证明</w:t>
      </w:r>
    </w:p>
    <w:p w14:paraId="29714F6A">
      <w:pPr>
        <w:ind w:left="765"/>
      </w:pPr>
    </w:p>
    <w:p w14:paraId="7B005724">
      <w:pPr>
        <w:spacing w:line="500" w:lineRule="exact"/>
        <w:rPr>
          <w:szCs w:val="21"/>
        </w:rPr>
      </w:pPr>
      <w:r>
        <w:rPr>
          <w:szCs w:val="21"/>
        </w:rPr>
        <w:t>投 标 人：</w:t>
      </w:r>
      <w:r>
        <w:rPr>
          <w:szCs w:val="21"/>
          <w:u w:val="single"/>
        </w:rPr>
        <w:t xml:space="preserve">                                                        </w:t>
      </w:r>
    </w:p>
    <w:p w14:paraId="571C04C6">
      <w:pPr>
        <w:spacing w:line="500" w:lineRule="exact"/>
        <w:rPr>
          <w:szCs w:val="21"/>
        </w:rPr>
      </w:pPr>
      <w:r>
        <w:rPr>
          <w:szCs w:val="21"/>
        </w:rPr>
        <w:t>单位性质：</w:t>
      </w:r>
      <w:r>
        <w:rPr>
          <w:szCs w:val="21"/>
          <w:u w:val="single"/>
        </w:rPr>
        <w:t xml:space="preserve">                                                        </w:t>
      </w:r>
    </w:p>
    <w:p w14:paraId="68F01424">
      <w:pPr>
        <w:spacing w:line="500" w:lineRule="exact"/>
        <w:rPr>
          <w:szCs w:val="21"/>
        </w:rPr>
      </w:pPr>
      <w:r>
        <w:rPr>
          <w:szCs w:val="21"/>
        </w:rPr>
        <w:t>地    址：</w:t>
      </w:r>
      <w:r>
        <w:rPr>
          <w:szCs w:val="21"/>
          <w:u w:val="single"/>
        </w:rPr>
        <w:t xml:space="preserve">                                                        </w:t>
      </w:r>
    </w:p>
    <w:p w14:paraId="5D419EB7">
      <w:pPr>
        <w:spacing w:line="500" w:lineRule="exact"/>
        <w:rPr>
          <w:szCs w:val="21"/>
        </w:rPr>
      </w:pPr>
      <w:r>
        <w:rPr>
          <w:szCs w:val="21"/>
        </w:rPr>
        <w:t>成立时间：</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972B310">
      <w:pPr>
        <w:spacing w:line="500" w:lineRule="exact"/>
        <w:rPr>
          <w:szCs w:val="21"/>
        </w:rPr>
      </w:pPr>
      <w:r>
        <w:rPr>
          <w:szCs w:val="21"/>
        </w:rPr>
        <w:t>经营期限：</w:t>
      </w:r>
      <w:r>
        <w:rPr>
          <w:szCs w:val="21"/>
          <w:u w:val="single"/>
        </w:rPr>
        <w:t xml:space="preserve">                                                        </w:t>
      </w:r>
    </w:p>
    <w:p w14:paraId="004C4BD3">
      <w:pPr>
        <w:spacing w:line="500" w:lineRule="exact"/>
        <w:rPr>
          <w:szCs w:val="21"/>
        </w:rPr>
      </w:pPr>
      <w:r>
        <w:rPr>
          <w:szCs w:val="21"/>
        </w:rPr>
        <w:t>姓    名：</w:t>
      </w:r>
      <w:r>
        <w:rPr>
          <w:szCs w:val="21"/>
          <w:u w:val="single"/>
        </w:rPr>
        <w:t xml:space="preserve">                          </w:t>
      </w:r>
      <w:r>
        <w:rPr>
          <w:szCs w:val="21"/>
        </w:rPr>
        <w:t>性        别：</w:t>
      </w:r>
      <w:r>
        <w:rPr>
          <w:szCs w:val="21"/>
          <w:u w:val="single"/>
        </w:rPr>
        <w:t xml:space="preserve">                </w:t>
      </w:r>
    </w:p>
    <w:p w14:paraId="0A059D6C">
      <w:pPr>
        <w:spacing w:line="500" w:lineRule="exact"/>
        <w:rPr>
          <w:szCs w:val="21"/>
        </w:rPr>
      </w:pPr>
      <w:r>
        <w:rPr>
          <w:szCs w:val="21"/>
        </w:rPr>
        <w:t>年    龄：</w:t>
      </w:r>
      <w:r>
        <w:rPr>
          <w:szCs w:val="21"/>
          <w:u w:val="single"/>
        </w:rPr>
        <w:t xml:space="preserve">                          </w:t>
      </w:r>
      <w:r>
        <w:rPr>
          <w:szCs w:val="21"/>
        </w:rPr>
        <w:t>职        务：</w:t>
      </w:r>
      <w:r>
        <w:rPr>
          <w:szCs w:val="21"/>
          <w:u w:val="single"/>
        </w:rPr>
        <w:t xml:space="preserve">                </w:t>
      </w:r>
    </w:p>
    <w:p w14:paraId="1474DB75">
      <w:pPr>
        <w:spacing w:line="500" w:lineRule="exact"/>
        <w:rPr>
          <w:szCs w:val="21"/>
        </w:rPr>
      </w:pPr>
      <w:r>
        <w:rPr>
          <w:szCs w:val="21"/>
        </w:rPr>
        <w:t>系</w:t>
      </w:r>
      <w:r>
        <w:rPr>
          <w:szCs w:val="21"/>
          <w:u w:val="single"/>
        </w:rPr>
        <w:t xml:space="preserve">                                                 </w:t>
      </w:r>
      <w:r>
        <w:rPr>
          <w:szCs w:val="21"/>
        </w:rPr>
        <w:t>（投标人名称）的法定代表人。</w:t>
      </w:r>
    </w:p>
    <w:p w14:paraId="6213C13A">
      <w:pPr>
        <w:spacing w:line="500" w:lineRule="exact"/>
        <w:rPr>
          <w:szCs w:val="21"/>
        </w:rPr>
      </w:pPr>
      <w:r>
        <w:rPr>
          <w:szCs w:val="21"/>
        </w:rPr>
        <w:t>特此证明。</w:t>
      </w:r>
    </w:p>
    <w:p w14:paraId="2AE8C5B2">
      <w:pPr>
        <w:spacing w:line="500" w:lineRule="exact"/>
        <w:rPr>
          <w:szCs w:val="21"/>
        </w:rPr>
      </w:pPr>
    </w:p>
    <w:p w14:paraId="3EF503F2">
      <w:pPr>
        <w:spacing w:line="500" w:lineRule="exact"/>
        <w:rPr>
          <w:szCs w:val="21"/>
        </w:rPr>
      </w:pPr>
    </w:p>
    <w:p w14:paraId="58A5434A">
      <w:pPr>
        <w:spacing w:line="500" w:lineRule="exact"/>
        <w:jc w:val="right"/>
        <w:rPr>
          <w:szCs w:val="21"/>
        </w:rPr>
      </w:pPr>
      <w:r>
        <w:rPr>
          <w:szCs w:val="21"/>
        </w:rPr>
        <w:t>投标人：</w:t>
      </w:r>
      <w:r>
        <w:rPr>
          <w:szCs w:val="21"/>
          <w:u w:val="single"/>
        </w:rPr>
        <w:t xml:space="preserve">                          </w:t>
      </w:r>
      <w:r>
        <w:rPr>
          <w:szCs w:val="21"/>
        </w:rPr>
        <w:t>（盖单位章）</w:t>
      </w:r>
    </w:p>
    <w:p w14:paraId="571348B2">
      <w:pPr>
        <w:spacing w:before="48" w:after="48" w:line="540" w:lineRule="exact"/>
        <w:ind w:firstLine="5565"/>
        <w:rPr>
          <w:sz w:val="24"/>
        </w:rPr>
      </w:pP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9D8B433">
      <w:pPr>
        <w:spacing w:before="48" w:after="48" w:line="540" w:lineRule="exact"/>
        <w:ind w:firstLine="3840"/>
        <w:rPr>
          <w:sz w:val="24"/>
        </w:rPr>
      </w:pPr>
    </w:p>
    <w:p w14:paraId="2985D2B5">
      <w:pPr>
        <w:spacing w:before="48" w:after="48" w:line="540" w:lineRule="exact"/>
        <w:rPr>
          <w:b/>
          <w:bCs/>
          <w:sz w:val="24"/>
        </w:rPr>
      </w:pPr>
    </w:p>
    <w:p w14:paraId="0DF13CDA">
      <w:pPr>
        <w:spacing w:before="48" w:after="48" w:line="540" w:lineRule="exact"/>
        <w:rPr>
          <w:b/>
          <w:bCs/>
          <w:sz w:val="24"/>
        </w:rPr>
      </w:pPr>
    </w:p>
    <w:p w14:paraId="7AB83B87">
      <w:pPr>
        <w:spacing w:before="48" w:after="48" w:line="540" w:lineRule="exact"/>
        <w:rPr>
          <w:b/>
          <w:bCs/>
          <w:sz w:val="24"/>
        </w:rPr>
      </w:pPr>
    </w:p>
    <w:p w14:paraId="08D09D10">
      <w:pPr>
        <w:jc w:val="center"/>
        <w:rPr>
          <w:sz w:val="32"/>
          <w:szCs w:val="32"/>
        </w:rPr>
      </w:pPr>
      <w:bookmarkStart w:id="211" w:name="_Toc535241130"/>
      <w:bookmarkEnd w:id="211"/>
      <w:bookmarkStart w:id="212" w:name="_Toc535241227"/>
      <w:bookmarkEnd w:id="212"/>
      <w:bookmarkStart w:id="213" w:name="_Toc535241084"/>
      <w:bookmarkEnd w:id="213"/>
      <w:bookmarkStart w:id="214" w:name="_Toc224103497"/>
      <w:bookmarkEnd w:id="214"/>
      <w:bookmarkStart w:id="215" w:name="_Toc224103498"/>
      <w:bookmarkEnd w:id="215"/>
      <w:r>
        <w:br w:type="page"/>
      </w:r>
    </w:p>
    <w:p w14:paraId="46261B65">
      <w:pPr>
        <w:jc w:val="center"/>
        <w:rPr>
          <w:sz w:val="32"/>
          <w:szCs w:val="32"/>
        </w:rPr>
      </w:pPr>
      <w:r>
        <w:rPr>
          <w:rFonts w:hint="eastAsia" w:eastAsia="黑体"/>
          <w:bCs/>
          <w:sz w:val="24"/>
          <w:szCs w:val="24"/>
        </w:rPr>
        <w:t>授权委托书</w:t>
      </w:r>
    </w:p>
    <w:p w14:paraId="3EF5CE74">
      <w:pPr>
        <w:rPr>
          <w:szCs w:val="24"/>
        </w:rPr>
      </w:pPr>
    </w:p>
    <w:p w14:paraId="76FE0D08">
      <w:pPr>
        <w:spacing w:line="360" w:lineRule="auto"/>
        <w:ind w:firstLine="420"/>
        <w:jc w:val="left"/>
        <w:rPr>
          <w:szCs w:val="21"/>
        </w:rPr>
      </w:pPr>
      <w:r>
        <w:rPr>
          <w:szCs w:val="21"/>
        </w:rPr>
        <w:t>本人</w:t>
      </w:r>
      <w:r>
        <w:rPr>
          <w:szCs w:val="21"/>
          <w:u w:val="single"/>
        </w:rPr>
        <w:t xml:space="preserve">         </w:t>
      </w:r>
      <w:r>
        <w:rPr>
          <w:szCs w:val="21"/>
        </w:rPr>
        <w:t>（姓名）系</w:t>
      </w:r>
      <w:r>
        <w:rPr>
          <w:szCs w:val="21"/>
          <w:u w:val="single"/>
        </w:rPr>
        <w:t xml:space="preserve">         </w:t>
      </w:r>
      <w:r>
        <w:rPr>
          <w:szCs w:val="21"/>
        </w:rPr>
        <w:t>（投标人名称）的法定代表人，现委托</w:t>
      </w:r>
      <w:r>
        <w:rPr>
          <w:szCs w:val="21"/>
          <w:u w:val="single"/>
        </w:rPr>
        <w:t xml:space="preserve">      </w:t>
      </w:r>
      <w:r>
        <w:rPr>
          <w:szCs w:val="21"/>
        </w:rPr>
        <w:t>（姓名）为我方代理人。代理人根据授权，以我方名义签署、澄清、说明、补正、递交、撤回、修改</w:t>
      </w:r>
      <w:r>
        <w:rPr>
          <w:szCs w:val="21"/>
          <w:u w:val="single"/>
        </w:rPr>
        <w:t xml:space="preserve">        </w:t>
      </w:r>
      <w:r>
        <w:rPr>
          <w:szCs w:val="21"/>
        </w:rPr>
        <w:t>（项目名称）</w:t>
      </w:r>
      <w:r>
        <w:rPr>
          <w:szCs w:val="21"/>
          <w:u w:val="single"/>
        </w:rPr>
        <w:t xml:space="preserve">       </w:t>
      </w:r>
      <w:r>
        <w:rPr>
          <w:szCs w:val="21"/>
        </w:rPr>
        <w:t>标段施工投标文件、签订合同和处理有关事宜，其法律后果由我方承担。</w:t>
      </w:r>
    </w:p>
    <w:p w14:paraId="0B46E465">
      <w:pPr>
        <w:spacing w:line="360" w:lineRule="auto"/>
        <w:ind w:firstLine="420"/>
        <w:rPr>
          <w:szCs w:val="21"/>
        </w:rPr>
      </w:pPr>
      <w:r>
        <w:rPr>
          <w:szCs w:val="21"/>
        </w:rPr>
        <w:t>委托期限：</w:t>
      </w:r>
      <w:r>
        <w:rPr>
          <w:szCs w:val="21"/>
          <w:u w:val="single"/>
        </w:rPr>
        <w:t xml:space="preserve">          </w:t>
      </w:r>
      <w:r>
        <w:rPr>
          <w:szCs w:val="21"/>
        </w:rPr>
        <w:t>。</w:t>
      </w:r>
    </w:p>
    <w:p w14:paraId="39B4AD2A">
      <w:pPr>
        <w:spacing w:line="360" w:lineRule="auto"/>
        <w:ind w:firstLine="420"/>
        <w:rPr>
          <w:szCs w:val="21"/>
        </w:rPr>
      </w:pPr>
      <w:r>
        <w:rPr>
          <w:szCs w:val="21"/>
        </w:rPr>
        <w:t>代理人无转委托权。</w:t>
      </w:r>
    </w:p>
    <w:p w14:paraId="6364001E">
      <w:pPr>
        <w:spacing w:line="360" w:lineRule="auto"/>
        <w:ind w:firstLine="420"/>
        <w:rPr>
          <w:szCs w:val="21"/>
        </w:rPr>
      </w:pPr>
      <w:r>
        <w:rPr>
          <w:szCs w:val="21"/>
        </w:rPr>
        <w:t>附：法定代表人身份证明</w:t>
      </w:r>
    </w:p>
    <w:p w14:paraId="0E657344">
      <w:pPr>
        <w:spacing w:line="500" w:lineRule="exact"/>
        <w:rPr>
          <w:szCs w:val="21"/>
        </w:rPr>
      </w:pPr>
    </w:p>
    <w:p w14:paraId="6503AE8C">
      <w:pPr>
        <w:spacing w:line="400" w:lineRule="exact"/>
        <w:ind w:firstLine="3570"/>
        <w:rPr>
          <w:szCs w:val="21"/>
        </w:rPr>
      </w:pPr>
      <w:r>
        <w:rPr>
          <w:szCs w:val="21"/>
        </w:rPr>
        <w:t>投  标  人：</w:t>
      </w:r>
      <w:r>
        <w:rPr>
          <w:szCs w:val="21"/>
          <w:u w:val="single"/>
        </w:rPr>
        <w:t xml:space="preserve">                         </w:t>
      </w:r>
      <w:r>
        <w:rPr>
          <w:szCs w:val="21"/>
        </w:rPr>
        <w:t>（盖单位章）</w:t>
      </w:r>
    </w:p>
    <w:p w14:paraId="594C2F90">
      <w:pPr>
        <w:spacing w:line="400" w:lineRule="exact"/>
        <w:ind w:firstLine="3570"/>
        <w:rPr>
          <w:szCs w:val="21"/>
        </w:rPr>
      </w:pPr>
      <w:r>
        <w:rPr>
          <w:szCs w:val="21"/>
        </w:rPr>
        <w:t>法定代表人：</w:t>
      </w:r>
      <w:r>
        <w:rPr>
          <w:szCs w:val="21"/>
          <w:u w:val="single"/>
        </w:rPr>
        <w:t xml:space="preserve">                       </w:t>
      </w:r>
      <w:r>
        <w:rPr>
          <w:szCs w:val="21"/>
        </w:rPr>
        <w:t>（签字或盖章）</w:t>
      </w:r>
    </w:p>
    <w:p w14:paraId="5AC98712">
      <w:pPr>
        <w:spacing w:line="400" w:lineRule="exact"/>
        <w:ind w:firstLine="3570"/>
        <w:rPr>
          <w:szCs w:val="21"/>
          <w:u w:val="single"/>
        </w:rPr>
      </w:pPr>
      <w:r>
        <w:rPr>
          <w:szCs w:val="21"/>
        </w:rPr>
        <w:t>身份证号码：</w:t>
      </w:r>
      <w:r>
        <w:rPr>
          <w:szCs w:val="21"/>
          <w:u w:val="single"/>
        </w:rPr>
        <w:t xml:space="preserve">                                   </w:t>
      </w:r>
    </w:p>
    <w:p w14:paraId="004F9CA1">
      <w:pPr>
        <w:spacing w:line="400" w:lineRule="exact"/>
        <w:ind w:firstLine="4830"/>
        <w:rPr>
          <w:szCs w:val="21"/>
        </w:rPr>
      </w:pP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9386CDC">
      <w:pPr>
        <w:spacing w:line="360" w:lineRule="auto"/>
        <w:jc w:val="left"/>
      </w:pPr>
    </w:p>
    <w:p w14:paraId="54B4F962">
      <w:pPr>
        <w:tabs>
          <w:tab w:val="left" w:pos="5760"/>
        </w:tabs>
        <w:spacing w:line="300" w:lineRule="exact"/>
        <w:ind w:right="11"/>
      </w:pPr>
      <w:r>
        <w:t>注：</w:t>
      </w:r>
    </w:p>
    <w:p w14:paraId="3DCFF511">
      <w:pPr>
        <w:tabs>
          <w:tab w:val="left" w:pos="5760"/>
        </w:tabs>
        <w:spacing w:line="300" w:lineRule="exact"/>
        <w:ind w:right="11"/>
      </w:pPr>
      <w:r>
        <w:t>法定代表人参加投标活动并签署文件的不需要授权委托书，只需提供法定代表人身份证明；非法定代表人参加投标活动及签署文件的还须提供授权委托书。</w:t>
      </w:r>
      <w:bookmarkStart w:id="216" w:name="_Toc224103499"/>
      <w:bookmarkEnd w:id="216"/>
      <w:bookmarkStart w:id="217" w:name="_Toc460227109"/>
      <w:bookmarkEnd w:id="217"/>
      <w:bookmarkStart w:id="218" w:name="_Toc421917002"/>
      <w:bookmarkEnd w:id="218"/>
      <w:bookmarkStart w:id="219" w:name="_Toc460660224"/>
      <w:bookmarkEnd w:id="219"/>
      <w:bookmarkStart w:id="220" w:name="_Toc390411622"/>
      <w:bookmarkEnd w:id="220"/>
      <w:r>
        <w:br w:type="page"/>
      </w:r>
    </w:p>
    <w:p w14:paraId="6DF95AE0">
      <w:pPr>
        <w:keepNext/>
        <w:keepLines/>
        <w:spacing w:before="120" w:after="120" w:line="360" w:lineRule="auto"/>
        <w:jc w:val="center"/>
        <w:outlineLvl w:val="2"/>
        <w:rPr>
          <w:rFonts w:eastAsia="黑体"/>
          <w:bCs/>
          <w:sz w:val="24"/>
          <w:szCs w:val="24"/>
        </w:rPr>
      </w:pPr>
      <w:bookmarkStart w:id="221" w:name="_Toc24911"/>
      <w:bookmarkEnd w:id="221"/>
      <w:bookmarkStart w:id="222" w:name="_Toc460660225"/>
      <w:bookmarkEnd w:id="222"/>
      <w:bookmarkStart w:id="223" w:name="_Toc7764"/>
      <w:bookmarkEnd w:id="223"/>
      <w:bookmarkStart w:id="224" w:name="_Toc4316"/>
      <w:bookmarkEnd w:id="224"/>
      <w:bookmarkStart w:id="225" w:name="_Toc535241229"/>
      <w:bookmarkEnd w:id="225"/>
      <w:bookmarkStart w:id="226" w:name="_Toc535241086"/>
      <w:bookmarkEnd w:id="226"/>
      <w:bookmarkStart w:id="227" w:name="_Toc535241132"/>
      <w:bookmarkEnd w:id="227"/>
      <w:bookmarkStart w:id="228" w:name="_Toc29878"/>
      <w:bookmarkEnd w:id="228"/>
      <w:bookmarkStart w:id="229" w:name="_Toc460227110"/>
      <w:bookmarkEnd w:id="229"/>
      <w:bookmarkStart w:id="230" w:name="_Toc21325"/>
      <w:bookmarkEnd w:id="230"/>
      <w:r>
        <w:rPr>
          <w:rFonts w:hint="eastAsia" w:eastAsia="黑体"/>
          <w:bCs/>
          <w:sz w:val="28"/>
          <w:szCs w:val="28"/>
        </w:rPr>
        <w:t>三、资格审查资料</w:t>
      </w:r>
    </w:p>
    <w:p w14:paraId="12202B14">
      <w:pPr>
        <w:keepNext/>
        <w:keepLines/>
        <w:spacing w:before="120" w:after="120" w:line="360" w:lineRule="auto"/>
        <w:jc w:val="center"/>
        <w:outlineLvl w:val="2"/>
        <w:rPr>
          <w:rFonts w:eastAsia="黑体"/>
          <w:bCs/>
          <w:sz w:val="24"/>
        </w:rPr>
      </w:pPr>
      <w:bookmarkStart w:id="231" w:name="_Toc32616"/>
      <w:bookmarkEnd w:id="231"/>
      <w:bookmarkStart w:id="232" w:name="_Toc25089"/>
      <w:bookmarkEnd w:id="232"/>
      <w:r>
        <w:rPr>
          <w:rFonts w:hint="eastAsia" w:eastAsia="黑体"/>
          <w:bCs/>
          <w:sz w:val="24"/>
          <w:szCs w:val="24"/>
        </w:rPr>
        <w:t>（一）投标人基本情况表</w:t>
      </w:r>
    </w:p>
    <w:tbl>
      <w:tblPr>
        <w:tblStyle w:val="17"/>
        <w:tblW w:w="8568" w:type="dxa"/>
        <w:tblInd w:w="-5" w:type="dxa"/>
        <w:tblLayout w:type="autofit"/>
        <w:tblCellMar>
          <w:top w:w="0" w:type="dxa"/>
          <w:left w:w="10" w:type="dxa"/>
          <w:bottom w:w="0" w:type="dxa"/>
          <w:right w:w="10" w:type="dxa"/>
        </w:tblCellMar>
      </w:tblPr>
      <w:tblGrid>
        <w:gridCol w:w="1728"/>
        <w:gridCol w:w="898"/>
        <w:gridCol w:w="951"/>
        <w:gridCol w:w="840"/>
        <w:gridCol w:w="420"/>
        <w:gridCol w:w="96"/>
        <w:gridCol w:w="1293"/>
        <w:gridCol w:w="491"/>
        <w:gridCol w:w="859"/>
        <w:gridCol w:w="992"/>
      </w:tblGrid>
      <w:tr w14:paraId="521BBB56">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72160B9">
            <w:pPr>
              <w:jc w:val="center"/>
              <w:rPr>
                <w:szCs w:val="24"/>
              </w:rPr>
            </w:pPr>
            <w:bookmarkStart w:id="233" w:name="_Toc390411623"/>
            <w:bookmarkEnd w:id="233"/>
            <w:bookmarkStart w:id="234" w:name="_Toc421917003"/>
            <w:bookmarkEnd w:id="234"/>
            <w:r>
              <w:t>投标人名称</w:t>
            </w:r>
          </w:p>
        </w:tc>
        <w:tc>
          <w:tcPr>
            <w:tcW w:w="6840"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6889DD4">
            <w:pPr>
              <w:jc w:val="center"/>
              <w:rPr>
                <w:szCs w:val="24"/>
              </w:rPr>
            </w:pPr>
          </w:p>
        </w:tc>
      </w:tr>
      <w:tr w14:paraId="69F1226D">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CEEAC9C">
            <w:pPr>
              <w:jc w:val="center"/>
              <w:rPr>
                <w:szCs w:val="24"/>
              </w:rPr>
            </w:pPr>
            <w:r>
              <w:t>注册地址</w:t>
            </w:r>
          </w:p>
        </w:tc>
        <w:tc>
          <w:tcPr>
            <w:tcW w:w="320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B609265">
            <w:pPr>
              <w:jc w:val="center"/>
              <w:rPr>
                <w:szCs w:val="24"/>
              </w:rPr>
            </w:pPr>
          </w:p>
        </w:tc>
        <w:tc>
          <w:tcPr>
            <w:tcW w:w="12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2DD0F9A">
            <w:pPr>
              <w:jc w:val="center"/>
              <w:rPr>
                <w:szCs w:val="24"/>
              </w:rPr>
            </w:pPr>
            <w:r>
              <w:t>邮政编码</w:t>
            </w:r>
          </w:p>
        </w:tc>
        <w:tc>
          <w:tcPr>
            <w:tcW w:w="2342"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5AC316D">
            <w:pPr>
              <w:jc w:val="center"/>
              <w:rPr>
                <w:szCs w:val="24"/>
              </w:rPr>
            </w:pPr>
          </w:p>
        </w:tc>
      </w:tr>
      <w:tr w14:paraId="14C7BCC1">
        <w:tblPrEx>
          <w:tblCellMar>
            <w:top w:w="0" w:type="dxa"/>
            <w:left w:w="10" w:type="dxa"/>
            <w:bottom w:w="0" w:type="dxa"/>
            <w:right w:w="10" w:type="dxa"/>
          </w:tblCellMar>
        </w:tblPrEx>
        <w:trPr>
          <w:trHeight w:val="567" w:hRule="atLeast"/>
        </w:trPr>
        <w:tc>
          <w:tcPr>
            <w:tcW w:w="172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2C29BDE">
            <w:pPr>
              <w:jc w:val="center"/>
              <w:rPr>
                <w:szCs w:val="24"/>
              </w:rPr>
            </w:pPr>
            <w:r>
              <w:t>联系方式</w:t>
            </w:r>
          </w:p>
        </w:tc>
        <w:tc>
          <w:tcPr>
            <w:tcW w:w="89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EE27F8B">
            <w:pPr>
              <w:jc w:val="center"/>
              <w:rPr>
                <w:szCs w:val="24"/>
              </w:rPr>
            </w:pPr>
            <w:r>
              <w:t>联系人</w:t>
            </w:r>
          </w:p>
        </w:tc>
        <w:tc>
          <w:tcPr>
            <w:tcW w:w="2307"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243E6EA">
            <w:pPr>
              <w:jc w:val="center"/>
              <w:rPr>
                <w:szCs w:val="24"/>
              </w:rPr>
            </w:pPr>
          </w:p>
        </w:tc>
        <w:tc>
          <w:tcPr>
            <w:tcW w:w="12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1FE7CAA">
            <w:pPr>
              <w:jc w:val="center"/>
              <w:rPr>
                <w:szCs w:val="24"/>
              </w:rPr>
            </w:pPr>
            <w:r>
              <w:t xml:space="preserve">电 </w:t>
            </w:r>
            <w:r>
              <w:rPr>
                <w:spacing w:val="1"/>
              </w:rPr>
              <w:t xml:space="preserve"> </w:t>
            </w:r>
            <w:r>
              <w:t>话</w:t>
            </w:r>
          </w:p>
        </w:tc>
        <w:tc>
          <w:tcPr>
            <w:tcW w:w="2342"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B0187E8">
            <w:pPr>
              <w:jc w:val="center"/>
              <w:rPr>
                <w:szCs w:val="24"/>
              </w:rPr>
            </w:pPr>
          </w:p>
        </w:tc>
      </w:tr>
      <w:tr w14:paraId="7516449C">
        <w:tblPrEx>
          <w:tblCellMar>
            <w:top w:w="0" w:type="dxa"/>
            <w:left w:w="10" w:type="dxa"/>
            <w:bottom w:w="0" w:type="dxa"/>
            <w:right w:w="10" w:type="dxa"/>
          </w:tblCellMar>
        </w:tblPrEx>
        <w:trPr>
          <w:trHeight w:val="567" w:hRule="atLeast"/>
        </w:trPr>
        <w:tc>
          <w:tcPr>
            <w:tcW w:w="1728"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DA0FA0D"/>
        </w:tc>
        <w:tc>
          <w:tcPr>
            <w:tcW w:w="89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A59892">
            <w:pPr>
              <w:tabs>
                <w:tab w:val="left" w:pos="540"/>
              </w:tabs>
              <w:jc w:val="center"/>
              <w:rPr>
                <w:szCs w:val="24"/>
              </w:rPr>
            </w:pPr>
            <w:r>
              <w:t>传  真</w:t>
            </w:r>
          </w:p>
        </w:tc>
        <w:tc>
          <w:tcPr>
            <w:tcW w:w="2307"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2DAD654">
            <w:pPr>
              <w:jc w:val="center"/>
              <w:rPr>
                <w:szCs w:val="24"/>
              </w:rPr>
            </w:pPr>
          </w:p>
        </w:tc>
        <w:tc>
          <w:tcPr>
            <w:tcW w:w="12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05D44AF">
            <w:pPr>
              <w:jc w:val="center"/>
              <w:rPr>
                <w:szCs w:val="24"/>
              </w:rPr>
            </w:pPr>
            <w:r>
              <w:t>电子邮件</w:t>
            </w:r>
          </w:p>
        </w:tc>
        <w:tc>
          <w:tcPr>
            <w:tcW w:w="2342"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520C445">
            <w:pPr>
              <w:jc w:val="center"/>
              <w:rPr>
                <w:szCs w:val="24"/>
              </w:rPr>
            </w:pPr>
          </w:p>
        </w:tc>
      </w:tr>
      <w:tr w14:paraId="68A0F1E5">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25301B1">
            <w:pPr>
              <w:jc w:val="center"/>
              <w:rPr>
                <w:szCs w:val="24"/>
              </w:rPr>
            </w:pPr>
            <w:r>
              <w:t>法定代表人</w:t>
            </w:r>
          </w:p>
        </w:tc>
        <w:tc>
          <w:tcPr>
            <w:tcW w:w="89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574C83A">
            <w:pPr>
              <w:jc w:val="center"/>
              <w:rPr>
                <w:szCs w:val="24"/>
              </w:rPr>
            </w:pPr>
            <w:r>
              <w:t>姓名</w:t>
            </w:r>
          </w:p>
        </w:tc>
        <w:tc>
          <w:tcPr>
            <w:tcW w:w="95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C324CB0">
            <w:pPr>
              <w:jc w:val="center"/>
              <w:rPr>
                <w:szCs w:val="24"/>
              </w:rPr>
            </w:pPr>
          </w:p>
        </w:tc>
        <w:tc>
          <w:tcPr>
            <w:tcW w:w="126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0B4B9E7">
            <w:pPr>
              <w:jc w:val="center"/>
              <w:rPr>
                <w:szCs w:val="24"/>
              </w:rPr>
            </w:pPr>
            <w:r>
              <w:t>技术职称</w:t>
            </w:r>
          </w:p>
        </w:tc>
        <w:tc>
          <w:tcPr>
            <w:tcW w:w="188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04CB513">
            <w:pPr>
              <w:jc w:val="center"/>
              <w:rPr>
                <w:szCs w:val="24"/>
              </w:rPr>
            </w:pPr>
          </w:p>
        </w:tc>
        <w:tc>
          <w:tcPr>
            <w:tcW w:w="8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9CB71CB">
            <w:pPr>
              <w:jc w:val="center"/>
              <w:rPr>
                <w:szCs w:val="24"/>
              </w:rPr>
            </w:pPr>
            <w:r>
              <w:t>电话</w:t>
            </w:r>
          </w:p>
        </w:tc>
        <w:tc>
          <w:tcPr>
            <w:tcW w:w="99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CD9550E">
            <w:pPr>
              <w:jc w:val="center"/>
              <w:rPr>
                <w:szCs w:val="24"/>
              </w:rPr>
            </w:pPr>
          </w:p>
        </w:tc>
      </w:tr>
      <w:tr w14:paraId="20BC77FD">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16CC91E">
            <w:pPr>
              <w:jc w:val="center"/>
              <w:rPr>
                <w:szCs w:val="24"/>
              </w:rPr>
            </w:pPr>
            <w:r>
              <w:t>技术负责人</w:t>
            </w:r>
          </w:p>
        </w:tc>
        <w:tc>
          <w:tcPr>
            <w:tcW w:w="89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56C3F17">
            <w:pPr>
              <w:jc w:val="center"/>
              <w:rPr>
                <w:szCs w:val="24"/>
              </w:rPr>
            </w:pPr>
            <w:r>
              <w:t>姓名</w:t>
            </w:r>
          </w:p>
        </w:tc>
        <w:tc>
          <w:tcPr>
            <w:tcW w:w="95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4BD423A">
            <w:pPr>
              <w:jc w:val="center"/>
              <w:rPr>
                <w:szCs w:val="24"/>
              </w:rPr>
            </w:pPr>
          </w:p>
        </w:tc>
        <w:tc>
          <w:tcPr>
            <w:tcW w:w="126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BA28D73">
            <w:pPr>
              <w:jc w:val="center"/>
              <w:rPr>
                <w:szCs w:val="24"/>
              </w:rPr>
            </w:pPr>
            <w:r>
              <w:t>技术职称</w:t>
            </w:r>
          </w:p>
        </w:tc>
        <w:tc>
          <w:tcPr>
            <w:tcW w:w="188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6196193">
            <w:pPr>
              <w:jc w:val="center"/>
              <w:rPr>
                <w:szCs w:val="24"/>
              </w:rPr>
            </w:pPr>
          </w:p>
        </w:tc>
        <w:tc>
          <w:tcPr>
            <w:tcW w:w="8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6C1145B">
            <w:pPr>
              <w:jc w:val="center"/>
              <w:rPr>
                <w:szCs w:val="24"/>
              </w:rPr>
            </w:pPr>
            <w:r>
              <w:t>电话</w:t>
            </w:r>
          </w:p>
        </w:tc>
        <w:tc>
          <w:tcPr>
            <w:tcW w:w="99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8369344">
            <w:pPr>
              <w:jc w:val="center"/>
              <w:rPr>
                <w:szCs w:val="24"/>
              </w:rPr>
            </w:pPr>
          </w:p>
        </w:tc>
      </w:tr>
      <w:tr w14:paraId="64C727C8">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953E80B">
            <w:pPr>
              <w:jc w:val="center"/>
              <w:rPr>
                <w:szCs w:val="24"/>
              </w:rPr>
            </w:pPr>
            <w:r>
              <w:t>成立时间</w:t>
            </w:r>
          </w:p>
        </w:tc>
        <w:tc>
          <w:tcPr>
            <w:tcW w:w="184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2F9E49C">
            <w:pPr>
              <w:jc w:val="center"/>
              <w:rPr>
                <w:szCs w:val="24"/>
              </w:rPr>
            </w:pPr>
          </w:p>
        </w:tc>
        <w:tc>
          <w:tcPr>
            <w:tcW w:w="499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7C3FCD3">
            <w:pPr>
              <w:jc w:val="center"/>
              <w:rPr>
                <w:szCs w:val="24"/>
              </w:rPr>
            </w:pPr>
            <w:r>
              <w:t>员工总人数：</w:t>
            </w:r>
          </w:p>
        </w:tc>
      </w:tr>
      <w:tr w14:paraId="6792210A">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74E0A88">
            <w:pPr>
              <w:jc w:val="center"/>
              <w:rPr>
                <w:szCs w:val="24"/>
              </w:rPr>
            </w:pPr>
            <w:r>
              <w:t>企业资质等级</w:t>
            </w:r>
          </w:p>
        </w:tc>
        <w:tc>
          <w:tcPr>
            <w:tcW w:w="184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7F6EC4F">
            <w:pPr>
              <w:jc w:val="center"/>
              <w:rPr>
                <w:szCs w:val="24"/>
              </w:rPr>
            </w:pPr>
          </w:p>
        </w:tc>
        <w:tc>
          <w:tcPr>
            <w:tcW w:w="84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6D45190">
            <w:pPr>
              <w:jc w:val="center"/>
              <w:rPr>
                <w:szCs w:val="24"/>
              </w:rPr>
            </w:pPr>
            <w:r>
              <w:t>其中</w:t>
            </w:r>
          </w:p>
        </w:tc>
        <w:tc>
          <w:tcPr>
            <w:tcW w:w="23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A49EA5D">
            <w:pPr>
              <w:jc w:val="center"/>
              <w:rPr>
                <w:szCs w:val="24"/>
              </w:rPr>
            </w:pPr>
            <w:r>
              <w:t>项目经理（或注册建造师）</w:t>
            </w:r>
          </w:p>
        </w:tc>
        <w:tc>
          <w:tcPr>
            <w:tcW w:w="18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0B0BEBD">
            <w:pPr>
              <w:jc w:val="center"/>
              <w:rPr>
                <w:szCs w:val="24"/>
              </w:rPr>
            </w:pPr>
          </w:p>
        </w:tc>
      </w:tr>
      <w:tr w14:paraId="48BF12C2">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C0A684D">
            <w:pPr>
              <w:jc w:val="center"/>
              <w:rPr>
                <w:szCs w:val="24"/>
              </w:rPr>
            </w:pPr>
            <w:r>
              <w:t>统一社会信用代码</w:t>
            </w:r>
          </w:p>
        </w:tc>
        <w:tc>
          <w:tcPr>
            <w:tcW w:w="184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65052D9">
            <w:pPr>
              <w:jc w:val="center"/>
              <w:rPr>
                <w:szCs w:val="24"/>
              </w:rPr>
            </w:pPr>
          </w:p>
        </w:tc>
        <w:tc>
          <w:tcPr>
            <w:tcW w:w="84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28738DB"/>
        </w:tc>
        <w:tc>
          <w:tcPr>
            <w:tcW w:w="23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89D043A">
            <w:pPr>
              <w:jc w:val="center"/>
              <w:rPr>
                <w:szCs w:val="24"/>
              </w:rPr>
            </w:pPr>
            <w:r>
              <w:t>高级职称人员</w:t>
            </w:r>
          </w:p>
        </w:tc>
        <w:tc>
          <w:tcPr>
            <w:tcW w:w="18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AB7D04F">
            <w:pPr>
              <w:jc w:val="center"/>
              <w:rPr>
                <w:szCs w:val="24"/>
              </w:rPr>
            </w:pPr>
          </w:p>
        </w:tc>
      </w:tr>
      <w:tr w14:paraId="681BD76C">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53F6ED2">
            <w:pPr>
              <w:jc w:val="center"/>
              <w:rPr>
                <w:szCs w:val="24"/>
              </w:rPr>
            </w:pPr>
            <w:r>
              <w:t>注册资本</w:t>
            </w:r>
          </w:p>
        </w:tc>
        <w:tc>
          <w:tcPr>
            <w:tcW w:w="184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D8B6008">
            <w:pPr>
              <w:jc w:val="center"/>
              <w:rPr>
                <w:szCs w:val="24"/>
              </w:rPr>
            </w:pPr>
          </w:p>
        </w:tc>
        <w:tc>
          <w:tcPr>
            <w:tcW w:w="84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6EFE267"/>
        </w:tc>
        <w:tc>
          <w:tcPr>
            <w:tcW w:w="23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BCD7EE7">
            <w:pPr>
              <w:jc w:val="center"/>
              <w:rPr>
                <w:szCs w:val="24"/>
              </w:rPr>
            </w:pPr>
            <w:r>
              <w:t>中级职称人员</w:t>
            </w:r>
          </w:p>
        </w:tc>
        <w:tc>
          <w:tcPr>
            <w:tcW w:w="18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58A5CED">
            <w:pPr>
              <w:jc w:val="center"/>
              <w:rPr>
                <w:szCs w:val="24"/>
              </w:rPr>
            </w:pPr>
          </w:p>
        </w:tc>
      </w:tr>
      <w:tr w14:paraId="1EE3DC7D">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F243696">
            <w:pPr>
              <w:jc w:val="center"/>
              <w:rPr>
                <w:szCs w:val="24"/>
              </w:rPr>
            </w:pPr>
            <w:r>
              <w:t>基本账户开户银行</w:t>
            </w:r>
          </w:p>
        </w:tc>
        <w:tc>
          <w:tcPr>
            <w:tcW w:w="184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B4EBEA1">
            <w:pPr>
              <w:jc w:val="center"/>
              <w:rPr>
                <w:szCs w:val="24"/>
              </w:rPr>
            </w:pPr>
          </w:p>
        </w:tc>
        <w:tc>
          <w:tcPr>
            <w:tcW w:w="84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6F411CA"/>
        </w:tc>
        <w:tc>
          <w:tcPr>
            <w:tcW w:w="23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C5B2A0E">
            <w:pPr>
              <w:jc w:val="center"/>
              <w:rPr>
                <w:szCs w:val="24"/>
              </w:rPr>
            </w:pPr>
            <w:r>
              <w:t>初级职称人员</w:t>
            </w:r>
          </w:p>
        </w:tc>
        <w:tc>
          <w:tcPr>
            <w:tcW w:w="18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069335A">
            <w:pPr>
              <w:jc w:val="center"/>
              <w:rPr>
                <w:szCs w:val="24"/>
              </w:rPr>
            </w:pPr>
          </w:p>
        </w:tc>
      </w:tr>
      <w:tr w14:paraId="5D1D7876">
        <w:tblPrEx>
          <w:tblCellMar>
            <w:top w:w="0" w:type="dxa"/>
            <w:left w:w="10" w:type="dxa"/>
            <w:bottom w:w="0" w:type="dxa"/>
            <w:right w:w="1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68E6441">
            <w:pPr>
              <w:jc w:val="center"/>
              <w:rPr>
                <w:szCs w:val="24"/>
              </w:rPr>
            </w:pPr>
            <w:r>
              <w:t>基本账户银行账号</w:t>
            </w:r>
          </w:p>
        </w:tc>
        <w:tc>
          <w:tcPr>
            <w:tcW w:w="1849"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FA8D7F9">
            <w:pPr>
              <w:jc w:val="center"/>
              <w:rPr>
                <w:szCs w:val="24"/>
              </w:rPr>
            </w:pPr>
          </w:p>
        </w:tc>
        <w:tc>
          <w:tcPr>
            <w:tcW w:w="840"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B723470"/>
        </w:tc>
        <w:tc>
          <w:tcPr>
            <w:tcW w:w="2300"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7528360">
            <w:pPr>
              <w:tabs>
                <w:tab w:val="left" w:pos="1240"/>
              </w:tabs>
              <w:jc w:val="center"/>
              <w:rPr>
                <w:szCs w:val="24"/>
              </w:rPr>
            </w:pPr>
            <w:r>
              <w:t>技        工</w:t>
            </w:r>
          </w:p>
        </w:tc>
        <w:tc>
          <w:tcPr>
            <w:tcW w:w="1851"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870026">
            <w:pPr>
              <w:jc w:val="center"/>
              <w:rPr>
                <w:szCs w:val="24"/>
              </w:rPr>
            </w:pPr>
          </w:p>
        </w:tc>
      </w:tr>
      <w:tr w14:paraId="4588A9EA">
        <w:tblPrEx>
          <w:tblCellMar>
            <w:top w:w="0" w:type="dxa"/>
            <w:left w:w="10" w:type="dxa"/>
            <w:bottom w:w="0" w:type="dxa"/>
            <w:right w:w="10" w:type="dxa"/>
          </w:tblCellMar>
        </w:tblPrEx>
        <w:trPr>
          <w:trHeight w:val="1277"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EA32BB8">
            <w:pPr>
              <w:jc w:val="center"/>
              <w:rPr>
                <w:szCs w:val="24"/>
              </w:rPr>
            </w:pPr>
            <w:r>
              <w:t>经营范围</w:t>
            </w:r>
          </w:p>
        </w:tc>
        <w:tc>
          <w:tcPr>
            <w:tcW w:w="6840"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4D11E6A">
            <w:pPr>
              <w:jc w:val="center"/>
              <w:rPr>
                <w:szCs w:val="24"/>
              </w:rPr>
            </w:pPr>
          </w:p>
        </w:tc>
      </w:tr>
      <w:tr w14:paraId="42EE2EF1">
        <w:tblPrEx>
          <w:tblCellMar>
            <w:top w:w="0" w:type="dxa"/>
            <w:left w:w="10" w:type="dxa"/>
            <w:bottom w:w="0" w:type="dxa"/>
            <w:right w:w="10" w:type="dxa"/>
          </w:tblCellMar>
        </w:tblPrEx>
        <w:trPr>
          <w:trHeight w:val="2121"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6EB54F2">
            <w:pPr>
              <w:jc w:val="center"/>
            </w:pPr>
            <w:r>
              <w:t>投标人关联</w:t>
            </w:r>
          </w:p>
          <w:p w14:paraId="2D2680B6">
            <w:pPr>
              <w:jc w:val="center"/>
              <w:rPr>
                <w:szCs w:val="21"/>
              </w:rPr>
            </w:pPr>
            <w:r>
              <w:t>企业情况</w:t>
            </w:r>
          </w:p>
        </w:tc>
        <w:tc>
          <w:tcPr>
            <w:tcW w:w="6840"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92493D2">
            <w:pPr>
              <w:ind w:firstLine="420"/>
              <w:jc w:val="left"/>
              <w:rPr>
                <w:szCs w:val="21"/>
              </w:rPr>
            </w:pPr>
            <w:r>
              <w:rPr>
                <w:szCs w:val="21"/>
              </w:rPr>
              <w:t>投标人应提供关联企业情况，包括：</w:t>
            </w:r>
          </w:p>
          <w:p w14:paraId="4B47A0A0">
            <w:pPr>
              <w:ind w:firstLine="420"/>
              <w:jc w:val="left"/>
              <w:rPr>
                <w:szCs w:val="21"/>
              </w:rPr>
            </w:pPr>
            <w:r>
              <w:rPr>
                <w:szCs w:val="21"/>
              </w:rPr>
              <w:t>（1）投标人的所有股东名称及相应股权（出资额）比例；如投标人为上市公司，投标人应提供股权占公司股份总数__%以上的所有股东名称及相应股权比例；</w:t>
            </w:r>
          </w:p>
          <w:p w14:paraId="15EA02F4">
            <w:pPr>
              <w:ind w:firstLine="420"/>
              <w:jc w:val="left"/>
              <w:rPr>
                <w:szCs w:val="21"/>
              </w:rPr>
            </w:pPr>
            <w:r>
              <w:rPr>
                <w:szCs w:val="21"/>
              </w:rPr>
              <w:t>（2）投标人投资（控股）或管理的下属企业名称、持有股权（出资额）比例；</w:t>
            </w:r>
          </w:p>
          <w:p w14:paraId="4D800289">
            <w:pPr>
              <w:ind w:firstLine="420"/>
              <w:jc w:val="left"/>
              <w:rPr>
                <w:szCs w:val="21"/>
              </w:rPr>
            </w:pPr>
            <w:r>
              <w:rPr>
                <w:szCs w:val="21"/>
              </w:rPr>
              <w:t>（3）与投标人单位负责人（即法定代表人）为同一人的其他单位名称。</w:t>
            </w:r>
          </w:p>
        </w:tc>
      </w:tr>
      <w:tr w14:paraId="0EE279F7">
        <w:tblPrEx>
          <w:tblCellMar>
            <w:top w:w="0" w:type="dxa"/>
            <w:left w:w="10" w:type="dxa"/>
            <w:bottom w:w="0" w:type="dxa"/>
            <w:right w:w="10" w:type="dxa"/>
          </w:tblCellMar>
        </w:tblPrEx>
        <w:trPr>
          <w:trHeight w:val="692" w:hRule="atLeast"/>
        </w:trPr>
        <w:tc>
          <w:tcPr>
            <w:tcW w:w="1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68B9FFA">
            <w:pPr>
              <w:jc w:val="center"/>
              <w:rPr>
                <w:szCs w:val="24"/>
              </w:rPr>
            </w:pPr>
            <w:r>
              <w:t>备注</w:t>
            </w:r>
          </w:p>
        </w:tc>
        <w:tc>
          <w:tcPr>
            <w:tcW w:w="6840"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5851E25">
            <w:pPr>
              <w:jc w:val="center"/>
              <w:rPr>
                <w:szCs w:val="24"/>
              </w:rPr>
            </w:pPr>
          </w:p>
        </w:tc>
      </w:tr>
    </w:tbl>
    <w:p w14:paraId="216DAA69">
      <w:pPr>
        <w:spacing w:line="300" w:lineRule="exact"/>
        <w:jc w:val="left"/>
      </w:pPr>
      <w:r>
        <w:t>注：</w:t>
      </w:r>
      <w:r>
        <w:rPr>
          <w:rFonts w:hint="eastAsia" w:cs="宋体"/>
          <w:szCs w:val="21"/>
        </w:rPr>
        <w:t>投标人应根据招标文件第二章“投标人须知”的要求在本表后附</w:t>
      </w:r>
      <w:r>
        <w:t>资质证书副本、安全生产许可证、营业执照副本等材料。接受联合体的，联合体成员分别填写。</w:t>
      </w:r>
      <w:r>
        <w:br w:type="page"/>
      </w:r>
    </w:p>
    <w:p w14:paraId="072F4209">
      <w:pPr>
        <w:keepNext/>
        <w:keepLines/>
        <w:spacing w:before="120" w:after="120" w:line="360" w:lineRule="auto"/>
        <w:jc w:val="center"/>
        <w:outlineLvl w:val="2"/>
        <w:rPr>
          <w:rFonts w:eastAsia="黑体"/>
          <w:bCs/>
          <w:sz w:val="24"/>
          <w:szCs w:val="24"/>
        </w:rPr>
      </w:pPr>
      <w:bookmarkStart w:id="235" w:name="_Toc535241087"/>
      <w:bookmarkEnd w:id="235"/>
      <w:bookmarkStart w:id="236" w:name="_Toc26932"/>
      <w:bookmarkEnd w:id="236"/>
      <w:bookmarkStart w:id="237" w:name="_Toc12227"/>
      <w:bookmarkEnd w:id="237"/>
      <w:bookmarkStart w:id="238" w:name="_Toc535241133"/>
      <w:bookmarkEnd w:id="238"/>
      <w:bookmarkStart w:id="239" w:name="_Toc535241230"/>
      <w:bookmarkEnd w:id="239"/>
      <w:r>
        <w:rPr>
          <w:rFonts w:hint="eastAsia" w:eastAsia="黑体"/>
          <w:bCs/>
          <w:sz w:val="24"/>
          <w:szCs w:val="24"/>
        </w:rPr>
        <w:t>（二）投标人近年完成的类似项目情况表</w:t>
      </w:r>
    </w:p>
    <w:tbl>
      <w:tblPr>
        <w:tblStyle w:val="17"/>
        <w:tblW w:w="8385" w:type="dxa"/>
        <w:jc w:val="center"/>
        <w:tblLayout w:type="autofit"/>
        <w:tblCellMar>
          <w:top w:w="0" w:type="dxa"/>
          <w:left w:w="10" w:type="dxa"/>
          <w:bottom w:w="0" w:type="dxa"/>
          <w:right w:w="10" w:type="dxa"/>
        </w:tblCellMar>
      </w:tblPr>
      <w:tblGrid>
        <w:gridCol w:w="2125"/>
        <w:gridCol w:w="6260"/>
      </w:tblGrid>
      <w:tr w14:paraId="0533081E">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04F61D">
            <w:pPr>
              <w:spacing w:line="300" w:lineRule="exact"/>
              <w:jc w:val="center"/>
              <w:rPr>
                <w:rFonts w:eastAsia="楷体"/>
                <w:color w:val="0000FF"/>
              </w:rPr>
            </w:pPr>
            <w:r>
              <w:rPr>
                <w:rFonts w:hint="eastAsia" w:cs="宋体"/>
                <w:szCs w:val="21"/>
              </w:rPr>
              <w:t>业绩编号</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627BC5">
            <w:pPr>
              <w:spacing w:line="300" w:lineRule="exact"/>
              <w:jc w:val="center"/>
              <w:rPr>
                <w:rFonts w:cs="宋体"/>
                <w:szCs w:val="21"/>
              </w:rPr>
            </w:pPr>
          </w:p>
        </w:tc>
      </w:tr>
      <w:tr w14:paraId="7E1B7298">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CB0852">
            <w:pPr>
              <w:spacing w:line="300" w:lineRule="exact"/>
              <w:jc w:val="center"/>
              <w:rPr>
                <w:rFonts w:cs="宋体"/>
                <w:szCs w:val="21"/>
              </w:rPr>
            </w:pPr>
            <w:r>
              <w:rPr>
                <w:rFonts w:hint="eastAsia" w:cs="宋体"/>
                <w:szCs w:val="21"/>
              </w:rPr>
              <w:t>项目名称</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0AE5B7">
            <w:pPr>
              <w:spacing w:line="300" w:lineRule="exact"/>
              <w:jc w:val="center"/>
              <w:rPr>
                <w:rFonts w:cs="宋体"/>
                <w:szCs w:val="21"/>
              </w:rPr>
            </w:pPr>
          </w:p>
        </w:tc>
      </w:tr>
      <w:tr w14:paraId="22BFC360">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083E9B">
            <w:pPr>
              <w:spacing w:line="300" w:lineRule="exact"/>
              <w:jc w:val="center"/>
              <w:rPr>
                <w:rFonts w:cs="宋体"/>
                <w:szCs w:val="21"/>
              </w:rPr>
            </w:pPr>
            <w:r>
              <w:rPr>
                <w:rFonts w:hint="eastAsia" w:cs="宋体"/>
                <w:szCs w:val="21"/>
              </w:rPr>
              <w:t>项目所在地</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56B739">
            <w:pPr>
              <w:spacing w:line="300" w:lineRule="exact"/>
              <w:jc w:val="center"/>
              <w:rPr>
                <w:rFonts w:cs="宋体"/>
                <w:szCs w:val="21"/>
              </w:rPr>
            </w:pPr>
          </w:p>
        </w:tc>
      </w:tr>
      <w:tr w14:paraId="62E02D18">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B70029">
            <w:pPr>
              <w:spacing w:line="300" w:lineRule="exact"/>
              <w:jc w:val="center"/>
              <w:rPr>
                <w:rFonts w:cs="宋体"/>
                <w:szCs w:val="21"/>
              </w:rPr>
            </w:pPr>
            <w:r>
              <w:rPr>
                <w:rFonts w:hint="eastAsia" w:cs="宋体"/>
                <w:szCs w:val="21"/>
              </w:rPr>
              <w:t>发包人名称</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8DE6E8">
            <w:pPr>
              <w:spacing w:line="300" w:lineRule="exact"/>
              <w:jc w:val="center"/>
              <w:rPr>
                <w:rFonts w:cs="宋体"/>
                <w:szCs w:val="21"/>
              </w:rPr>
            </w:pPr>
          </w:p>
        </w:tc>
      </w:tr>
      <w:tr w14:paraId="637362D7">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2ED140">
            <w:pPr>
              <w:spacing w:line="300" w:lineRule="exact"/>
              <w:jc w:val="center"/>
              <w:rPr>
                <w:rFonts w:cs="宋体"/>
                <w:szCs w:val="21"/>
              </w:rPr>
            </w:pPr>
            <w:r>
              <w:rPr>
                <w:rFonts w:hint="eastAsia" w:cs="宋体"/>
                <w:szCs w:val="21"/>
              </w:rPr>
              <w:t>发包人地址</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1E74CC">
            <w:pPr>
              <w:spacing w:line="300" w:lineRule="exact"/>
              <w:jc w:val="center"/>
              <w:rPr>
                <w:rFonts w:cs="宋体"/>
                <w:szCs w:val="21"/>
              </w:rPr>
            </w:pPr>
          </w:p>
        </w:tc>
      </w:tr>
      <w:tr w14:paraId="57B94948">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CA3BCCD">
            <w:pPr>
              <w:spacing w:line="300" w:lineRule="exact"/>
              <w:jc w:val="center"/>
              <w:rPr>
                <w:rFonts w:cs="宋体"/>
                <w:szCs w:val="21"/>
              </w:rPr>
            </w:pPr>
            <w:r>
              <w:rPr>
                <w:rFonts w:hint="eastAsia" w:cs="宋体"/>
                <w:szCs w:val="21"/>
              </w:rPr>
              <w:t>发包人电话</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08EF77E">
            <w:pPr>
              <w:spacing w:line="300" w:lineRule="exact"/>
              <w:jc w:val="center"/>
              <w:rPr>
                <w:rFonts w:cs="宋体"/>
                <w:szCs w:val="21"/>
              </w:rPr>
            </w:pPr>
          </w:p>
        </w:tc>
      </w:tr>
      <w:tr w14:paraId="4584A9FE">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3D24F2">
            <w:pPr>
              <w:spacing w:line="300" w:lineRule="exact"/>
              <w:jc w:val="center"/>
              <w:rPr>
                <w:rFonts w:cs="宋体"/>
                <w:szCs w:val="21"/>
              </w:rPr>
            </w:pPr>
            <w:r>
              <w:rPr>
                <w:rFonts w:hint="eastAsia" w:cs="宋体"/>
                <w:szCs w:val="21"/>
              </w:rPr>
              <w:t>合同价格</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BF574C">
            <w:pPr>
              <w:spacing w:line="300" w:lineRule="exact"/>
              <w:jc w:val="center"/>
              <w:rPr>
                <w:rFonts w:cs="宋体"/>
                <w:szCs w:val="21"/>
              </w:rPr>
            </w:pPr>
          </w:p>
        </w:tc>
      </w:tr>
      <w:tr w14:paraId="48D61021">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7A55A2">
            <w:pPr>
              <w:spacing w:line="300" w:lineRule="exact"/>
              <w:jc w:val="center"/>
              <w:rPr>
                <w:rFonts w:cs="宋体"/>
                <w:szCs w:val="21"/>
              </w:rPr>
            </w:pPr>
            <w:r>
              <w:rPr>
                <w:rFonts w:hint="eastAsia" w:cs="宋体"/>
                <w:szCs w:val="21"/>
              </w:rPr>
              <w:t>开工日期</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33F1F5">
            <w:pPr>
              <w:spacing w:line="300" w:lineRule="exact"/>
              <w:jc w:val="center"/>
              <w:rPr>
                <w:rFonts w:cs="宋体"/>
                <w:szCs w:val="21"/>
              </w:rPr>
            </w:pPr>
          </w:p>
        </w:tc>
      </w:tr>
      <w:tr w14:paraId="67273BB6">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735B0CE">
            <w:pPr>
              <w:spacing w:line="300" w:lineRule="exact"/>
              <w:jc w:val="center"/>
              <w:rPr>
                <w:rFonts w:cs="宋体"/>
                <w:szCs w:val="21"/>
              </w:rPr>
            </w:pPr>
            <w:r>
              <w:rPr>
                <w:rFonts w:hint="eastAsia" w:cs="宋体"/>
                <w:szCs w:val="21"/>
              </w:rPr>
              <w:t>竣工日期</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CCC17A">
            <w:pPr>
              <w:spacing w:line="300" w:lineRule="exact"/>
              <w:jc w:val="center"/>
              <w:rPr>
                <w:rFonts w:cs="宋体"/>
                <w:szCs w:val="21"/>
              </w:rPr>
            </w:pPr>
          </w:p>
        </w:tc>
      </w:tr>
      <w:tr w14:paraId="665E1612">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2A9F83">
            <w:pPr>
              <w:spacing w:line="300" w:lineRule="exact"/>
              <w:jc w:val="center"/>
              <w:rPr>
                <w:rFonts w:cs="宋体"/>
                <w:szCs w:val="21"/>
              </w:rPr>
            </w:pPr>
            <w:r>
              <w:rPr>
                <w:rFonts w:hint="eastAsia" w:cs="宋体"/>
                <w:szCs w:val="21"/>
              </w:rPr>
              <w:t>承担的工作</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66218">
            <w:pPr>
              <w:spacing w:line="300" w:lineRule="exact"/>
              <w:jc w:val="center"/>
              <w:rPr>
                <w:rFonts w:cs="宋体"/>
                <w:szCs w:val="21"/>
              </w:rPr>
            </w:pPr>
          </w:p>
        </w:tc>
      </w:tr>
      <w:tr w14:paraId="008BFC26">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81AB32">
            <w:pPr>
              <w:spacing w:line="300" w:lineRule="exact"/>
              <w:jc w:val="center"/>
              <w:rPr>
                <w:rFonts w:cs="宋体"/>
                <w:szCs w:val="21"/>
              </w:rPr>
            </w:pPr>
            <w:r>
              <w:rPr>
                <w:rFonts w:hint="eastAsia" w:cs="宋体"/>
                <w:szCs w:val="21"/>
              </w:rPr>
              <w:t>工程质量</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3918445">
            <w:pPr>
              <w:spacing w:line="300" w:lineRule="exact"/>
              <w:jc w:val="center"/>
              <w:rPr>
                <w:rFonts w:cs="宋体"/>
                <w:szCs w:val="21"/>
              </w:rPr>
            </w:pPr>
          </w:p>
        </w:tc>
      </w:tr>
      <w:tr w14:paraId="1ECCD155">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54F04F">
            <w:pPr>
              <w:spacing w:line="300" w:lineRule="exact"/>
              <w:jc w:val="center"/>
              <w:rPr>
                <w:rFonts w:cs="宋体"/>
                <w:szCs w:val="21"/>
              </w:rPr>
            </w:pPr>
            <w:r>
              <w:rPr>
                <w:rFonts w:hint="eastAsia" w:cs="宋体"/>
                <w:szCs w:val="21"/>
              </w:rPr>
              <w:t>项目经理（或注册建造师）</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93CA82">
            <w:pPr>
              <w:spacing w:line="300" w:lineRule="exact"/>
              <w:jc w:val="center"/>
              <w:rPr>
                <w:rFonts w:cs="宋体"/>
                <w:szCs w:val="21"/>
              </w:rPr>
            </w:pPr>
          </w:p>
        </w:tc>
      </w:tr>
      <w:tr w14:paraId="09541AF3">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2875B8F">
            <w:pPr>
              <w:spacing w:line="300" w:lineRule="exact"/>
              <w:jc w:val="center"/>
              <w:rPr>
                <w:rFonts w:cs="宋体"/>
                <w:szCs w:val="21"/>
              </w:rPr>
            </w:pPr>
            <w:r>
              <w:rPr>
                <w:rFonts w:hint="eastAsia" w:cs="宋体"/>
                <w:szCs w:val="21"/>
              </w:rPr>
              <w:t>技术负责人</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D040D6">
            <w:pPr>
              <w:spacing w:line="300" w:lineRule="exact"/>
              <w:jc w:val="center"/>
              <w:rPr>
                <w:rFonts w:cs="宋体"/>
                <w:szCs w:val="21"/>
              </w:rPr>
            </w:pPr>
          </w:p>
        </w:tc>
      </w:tr>
      <w:tr w14:paraId="527FF092">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9AA182">
            <w:pPr>
              <w:spacing w:line="300" w:lineRule="exact"/>
              <w:jc w:val="center"/>
              <w:rPr>
                <w:rFonts w:cs="宋体"/>
                <w:szCs w:val="21"/>
              </w:rPr>
            </w:pPr>
            <w:r>
              <w:rPr>
                <w:rFonts w:hint="eastAsia" w:cs="宋体"/>
                <w:szCs w:val="21"/>
              </w:rPr>
              <w:t>监理单位及联系电话</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32F223">
            <w:pPr>
              <w:spacing w:line="300" w:lineRule="exact"/>
              <w:jc w:val="center"/>
              <w:rPr>
                <w:rFonts w:cs="宋体"/>
                <w:szCs w:val="21"/>
              </w:rPr>
            </w:pPr>
          </w:p>
        </w:tc>
      </w:tr>
      <w:tr w14:paraId="202B07B6">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3CF24D">
            <w:pPr>
              <w:spacing w:line="300" w:lineRule="exact"/>
              <w:jc w:val="center"/>
              <w:rPr>
                <w:rFonts w:cs="宋体"/>
                <w:szCs w:val="21"/>
              </w:rPr>
            </w:pPr>
            <w:r>
              <w:rPr>
                <w:rFonts w:hint="eastAsia" w:cs="宋体"/>
                <w:szCs w:val="21"/>
              </w:rPr>
              <w:t>总监理工程师及电话</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281E9B">
            <w:pPr>
              <w:spacing w:line="300" w:lineRule="exact"/>
              <w:jc w:val="center"/>
              <w:rPr>
                <w:rFonts w:cs="宋体"/>
                <w:szCs w:val="21"/>
              </w:rPr>
            </w:pPr>
          </w:p>
        </w:tc>
      </w:tr>
      <w:tr w14:paraId="54B8830B">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D39E12">
            <w:pPr>
              <w:spacing w:line="300" w:lineRule="exact"/>
              <w:jc w:val="center"/>
              <w:rPr>
                <w:rFonts w:cs="宋体"/>
                <w:szCs w:val="21"/>
              </w:rPr>
            </w:pPr>
            <w:r>
              <w:rPr>
                <w:rFonts w:hint="eastAsia" w:cs="宋体"/>
                <w:szCs w:val="21"/>
              </w:rPr>
              <w:t>项目描述</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63E0EC">
            <w:pPr>
              <w:spacing w:line="300" w:lineRule="exact"/>
              <w:jc w:val="center"/>
              <w:rPr>
                <w:rFonts w:cs="宋体"/>
                <w:szCs w:val="21"/>
              </w:rPr>
            </w:pPr>
          </w:p>
        </w:tc>
      </w:tr>
      <w:tr w14:paraId="7EAE31E9">
        <w:tblPrEx>
          <w:tblCellMar>
            <w:top w:w="0" w:type="dxa"/>
            <w:left w:w="10" w:type="dxa"/>
            <w:bottom w:w="0" w:type="dxa"/>
            <w:right w:w="10" w:type="dxa"/>
          </w:tblCellMar>
        </w:tblPrEx>
        <w:trPr>
          <w:trHeight w:val="567" w:hRule="atLeast"/>
          <w:jc w:val="center"/>
        </w:trPr>
        <w:tc>
          <w:tcPr>
            <w:tcW w:w="2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881782">
            <w:pPr>
              <w:spacing w:line="300" w:lineRule="exact"/>
              <w:jc w:val="center"/>
              <w:rPr>
                <w:rFonts w:cs="宋体"/>
                <w:szCs w:val="21"/>
              </w:rPr>
            </w:pPr>
            <w:r>
              <w:rPr>
                <w:rFonts w:hint="eastAsia" w:cs="宋体"/>
                <w:szCs w:val="21"/>
              </w:rPr>
              <w:t>备注</w:t>
            </w:r>
          </w:p>
        </w:tc>
        <w:tc>
          <w:tcPr>
            <w:tcW w:w="6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0FAC041">
            <w:pPr>
              <w:spacing w:line="300" w:lineRule="exact"/>
              <w:ind w:left="360"/>
              <w:rPr>
                <w:rFonts w:cs="宋体"/>
                <w:szCs w:val="21"/>
              </w:rPr>
            </w:pPr>
            <w:r>
              <w:rPr>
                <w:bCs/>
                <w:szCs w:val="21"/>
              </w:rPr>
              <w:t>□</w:t>
            </w:r>
            <w:r>
              <w:t>资格审查用业绩</w:t>
            </w:r>
            <w:r>
              <w:rPr>
                <w:bCs/>
                <w:szCs w:val="21"/>
              </w:rPr>
              <w:t xml:space="preserve">      □</w:t>
            </w:r>
            <w:r>
              <w:t>技术文件评分用业绩</w:t>
            </w:r>
          </w:p>
        </w:tc>
      </w:tr>
    </w:tbl>
    <w:p w14:paraId="7BBDAF9A">
      <w:pPr>
        <w:spacing w:line="300" w:lineRule="exact"/>
        <w:jc w:val="left"/>
        <w:rPr>
          <w:rFonts w:cs="宋体"/>
          <w:szCs w:val="21"/>
        </w:rPr>
      </w:pPr>
      <w:r>
        <w:rPr>
          <w:rFonts w:hint="eastAsia" w:cs="宋体"/>
          <w:szCs w:val="21"/>
        </w:rPr>
        <w:t>注：此项投标人的业绩主要体现投标人综合实力，投标人根据自身情况综合提供，表后附相关业绩证明材料。投标人可根据业绩数量自行增加表单。</w:t>
      </w:r>
    </w:p>
    <w:p w14:paraId="37069FCE">
      <w:pPr>
        <w:rPr>
          <w:rFonts w:eastAsia="黑体"/>
          <w:bCs/>
          <w:sz w:val="24"/>
          <w:szCs w:val="21"/>
        </w:rPr>
      </w:pPr>
      <w:bookmarkStart w:id="240" w:name="_Toc390411627"/>
      <w:bookmarkEnd w:id="240"/>
      <w:bookmarkStart w:id="241" w:name="_Toc421917007"/>
      <w:bookmarkEnd w:id="241"/>
    </w:p>
    <w:p w14:paraId="142D7B3A">
      <w:pPr>
        <w:rPr>
          <w:rFonts w:eastAsia="黑体"/>
          <w:bCs/>
          <w:sz w:val="24"/>
          <w:szCs w:val="21"/>
        </w:rPr>
      </w:pPr>
    </w:p>
    <w:p w14:paraId="2FDD2E4C">
      <w:pPr>
        <w:pStyle w:val="10"/>
      </w:pPr>
    </w:p>
    <w:p w14:paraId="5345E55C">
      <w:pPr>
        <w:spacing w:line="360" w:lineRule="auto"/>
        <w:rPr>
          <w:rFonts w:eastAsia="黑体"/>
          <w:bCs/>
          <w:sz w:val="24"/>
          <w:szCs w:val="21"/>
        </w:rPr>
      </w:pPr>
      <w:r>
        <w:rPr>
          <w:rFonts w:hint="eastAsia" w:eastAsia="黑体"/>
          <w:bCs/>
          <w:sz w:val="24"/>
          <w:szCs w:val="21"/>
        </w:rPr>
        <w:t>四、投标人信用情况</w:t>
      </w:r>
    </w:p>
    <w:p w14:paraId="3B7CECC3">
      <w:pPr>
        <w:spacing w:line="360" w:lineRule="auto"/>
        <w:rPr>
          <w:rFonts w:eastAsia="黑体"/>
          <w:bCs/>
          <w:sz w:val="28"/>
          <w:szCs w:val="28"/>
        </w:rPr>
      </w:pPr>
      <w:r>
        <w:rPr>
          <w:rFonts w:hint="eastAsia" w:ascii="宋体" w:hAnsi="宋体" w:cs="宋体"/>
          <w:bCs/>
          <w:sz w:val="24"/>
          <w:szCs w:val="21"/>
        </w:rPr>
        <w:t>根据招标公告中信用要求内容提供</w:t>
      </w:r>
      <w:r>
        <w:br w:type="page"/>
      </w:r>
    </w:p>
    <w:p w14:paraId="4293D5B9">
      <w:pPr>
        <w:spacing w:line="360" w:lineRule="auto"/>
        <w:rPr>
          <w:rFonts w:eastAsia="黑体"/>
          <w:bCs/>
          <w:sz w:val="28"/>
          <w:szCs w:val="28"/>
        </w:rPr>
      </w:pPr>
      <w:bookmarkStart w:id="242" w:name="_Toc24581"/>
      <w:bookmarkEnd w:id="242"/>
      <w:bookmarkStart w:id="243" w:name="_Toc460660233"/>
      <w:bookmarkEnd w:id="243"/>
      <w:bookmarkStart w:id="244" w:name="_Toc32292"/>
      <w:bookmarkEnd w:id="244"/>
      <w:bookmarkStart w:id="245" w:name="_Toc421917010"/>
      <w:bookmarkEnd w:id="245"/>
      <w:bookmarkStart w:id="246" w:name="_Toc390411629"/>
      <w:bookmarkEnd w:id="246"/>
      <w:bookmarkStart w:id="247" w:name="_Toc460227118"/>
      <w:bookmarkEnd w:id="247"/>
      <w:r>
        <w:rPr>
          <w:rFonts w:hint="eastAsia" w:eastAsia="黑体"/>
          <w:bCs/>
          <w:sz w:val="24"/>
          <w:szCs w:val="24"/>
        </w:rPr>
        <w:t>五、施工组织设计</w:t>
      </w:r>
    </w:p>
    <w:p w14:paraId="3C7AEEBA">
      <w:pPr>
        <w:spacing w:line="420" w:lineRule="exact"/>
        <w:ind w:firstLine="420"/>
        <w:rPr>
          <w:szCs w:val="21"/>
        </w:rPr>
      </w:pPr>
      <w:r>
        <w:rPr>
          <w:szCs w:val="21"/>
        </w:rPr>
        <w:t>1． 投标人应根据招标文件和对现场的勘察情况，采用文字并结合图表形式，参考以下要点编制本工程的施工组织设计：</w:t>
      </w:r>
    </w:p>
    <w:p w14:paraId="53252B36">
      <w:pPr>
        <w:spacing w:line="420" w:lineRule="exact"/>
        <w:ind w:firstLine="420"/>
        <w:rPr>
          <w:szCs w:val="21"/>
        </w:rPr>
      </w:pPr>
      <w:r>
        <w:rPr>
          <w:szCs w:val="21"/>
        </w:rPr>
        <w:t>（1）工程概况；</w:t>
      </w:r>
    </w:p>
    <w:p w14:paraId="53F7A80F">
      <w:pPr>
        <w:spacing w:line="420" w:lineRule="exact"/>
        <w:ind w:firstLine="420"/>
        <w:rPr>
          <w:szCs w:val="21"/>
        </w:rPr>
      </w:pPr>
      <w:r>
        <w:rPr>
          <w:szCs w:val="21"/>
        </w:rPr>
        <w:t>（2）</w:t>
      </w:r>
      <w:r>
        <w:rPr>
          <w:szCs w:val="24"/>
        </w:rPr>
        <w:t>主要施工方案与技术措施</w:t>
      </w:r>
      <w:r>
        <w:rPr>
          <w:szCs w:val="21"/>
        </w:rPr>
        <w:t>；</w:t>
      </w:r>
    </w:p>
    <w:p w14:paraId="5EF72170">
      <w:pPr>
        <w:spacing w:line="420" w:lineRule="exact"/>
        <w:ind w:firstLine="420"/>
        <w:rPr>
          <w:szCs w:val="21"/>
        </w:rPr>
      </w:pPr>
      <w:r>
        <w:rPr>
          <w:szCs w:val="21"/>
        </w:rPr>
        <w:t>（3）主要物资供应计划；</w:t>
      </w:r>
    </w:p>
    <w:p w14:paraId="49CAA54C">
      <w:pPr>
        <w:spacing w:line="420" w:lineRule="exact"/>
        <w:ind w:firstLine="420"/>
        <w:rPr>
          <w:szCs w:val="21"/>
        </w:rPr>
      </w:pPr>
      <w:r>
        <w:rPr>
          <w:szCs w:val="21"/>
        </w:rPr>
        <w:t>（4）主要施工机械、设备进场计划；</w:t>
      </w:r>
    </w:p>
    <w:p w14:paraId="7E3425C1">
      <w:pPr>
        <w:spacing w:line="420" w:lineRule="exact"/>
        <w:ind w:left="945" w:hanging="525"/>
        <w:rPr>
          <w:szCs w:val="21"/>
        </w:rPr>
      </w:pPr>
      <w:r>
        <w:rPr>
          <w:szCs w:val="21"/>
        </w:rPr>
        <w:t>（5）劳动力安排计划；</w:t>
      </w:r>
    </w:p>
    <w:p w14:paraId="31995274">
      <w:pPr>
        <w:spacing w:line="420" w:lineRule="exact"/>
        <w:ind w:firstLine="420"/>
        <w:rPr>
          <w:szCs w:val="21"/>
        </w:rPr>
      </w:pPr>
      <w:r>
        <w:rPr>
          <w:szCs w:val="21"/>
        </w:rPr>
        <w:t>（6）确保工程质量的技术组织措施；</w:t>
      </w:r>
    </w:p>
    <w:p w14:paraId="61FCF0FF">
      <w:pPr>
        <w:spacing w:line="420" w:lineRule="exact"/>
        <w:ind w:firstLine="420"/>
        <w:rPr>
          <w:szCs w:val="21"/>
        </w:rPr>
      </w:pPr>
      <w:r>
        <w:rPr>
          <w:szCs w:val="21"/>
        </w:rPr>
        <w:t>（7）确保安全生产的技术组织措施；</w:t>
      </w:r>
    </w:p>
    <w:p w14:paraId="3FB66411">
      <w:pPr>
        <w:spacing w:line="420" w:lineRule="exact"/>
        <w:ind w:firstLine="420"/>
        <w:rPr>
          <w:szCs w:val="21"/>
        </w:rPr>
      </w:pPr>
      <w:r>
        <w:rPr>
          <w:szCs w:val="21"/>
        </w:rPr>
        <w:t>（8）确保工期的技术组织措施；</w:t>
      </w:r>
    </w:p>
    <w:p w14:paraId="5329BC90">
      <w:pPr>
        <w:spacing w:line="420" w:lineRule="exact"/>
        <w:ind w:firstLine="420"/>
        <w:rPr>
          <w:szCs w:val="21"/>
        </w:rPr>
      </w:pPr>
      <w:r>
        <w:rPr>
          <w:szCs w:val="21"/>
        </w:rPr>
        <w:t>（9）确保文明施工的技术组织措施；</w:t>
      </w:r>
    </w:p>
    <w:p w14:paraId="0333B8BB">
      <w:pPr>
        <w:spacing w:line="420" w:lineRule="exact"/>
        <w:ind w:left="945" w:hanging="525"/>
        <w:rPr>
          <w:szCs w:val="21"/>
        </w:rPr>
      </w:pPr>
      <w:r>
        <w:rPr>
          <w:szCs w:val="21"/>
        </w:rPr>
        <w:t>（10）施工总平面布置图；</w:t>
      </w:r>
    </w:p>
    <w:p w14:paraId="72429E4B">
      <w:pPr>
        <w:spacing w:line="420" w:lineRule="exact"/>
        <w:ind w:firstLine="420"/>
        <w:rPr>
          <w:szCs w:val="21"/>
        </w:rPr>
      </w:pPr>
      <w:r>
        <w:rPr>
          <w:szCs w:val="21"/>
        </w:rPr>
        <w:t>（11）重点、难点；</w:t>
      </w:r>
    </w:p>
    <w:p w14:paraId="00BFA494">
      <w:pPr>
        <w:spacing w:line="420" w:lineRule="exact"/>
        <w:ind w:firstLine="420"/>
        <w:rPr>
          <w:szCs w:val="21"/>
        </w:rPr>
      </w:pPr>
      <w:r>
        <w:rPr>
          <w:szCs w:val="21"/>
        </w:rPr>
        <w:t>（12）危大工程安全管理（如有）；</w:t>
      </w:r>
    </w:p>
    <w:p w14:paraId="53197996">
      <w:pPr>
        <w:spacing w:line="420" w:lineRule="exact"/>
        <w:ind w:firstLine="420"/>
        <w:rPr>
          <w:szCs w:val="21"/>
        </w:rPr>
      </w:pPr>
      <w:r>
        <w:rPr>
          <w:szCs w:val="21"/>
        </w:rPr>
        <w:t>（13）招标文件规定的其他内容。</w:t>
      </w:r>
    </w:p>
    <w:p w14:paraId="135A55B3">
      <w:pPr>
        <w:spacing w:line="420" w:lineRule="exact"/>
        <w:ind w:firstLine="420"/>
        <w:rPr>
          <w:szCs w:val="21"/>
        </w:rPr>
      </w:pPr>
      <w:r>
        <w:rPr>
          <w:szCs w:val="21"/>
        </w:rPr>
        <w:t>2． 施工组织设计除采用文字表述外可附下列图表，图表及格式要求附后。</w:t>
      </w:r>
    </w:p>
    <w:p w14:paraId="0B9669AE">
      <w:pPr>
        <w:spacing w:line="420" w:lineRule="exact"/>
        <w:ind w:firstLine="420"/>
        <w:rPr>
          <w:szCs w:val="21"/>
        </w:rPr>
      </w:pPr>
      <w:r>
        <w:rPr>
          <w:szCs w:val="21"/>
        </w:rPr>
        <w:t>附表一  拟投入本标段的主要施工设备表</w:t>
      </w:r>
    </w:p>
    <w:p w14:paraId="2460EDC9">
      <w:pPr>
        <w:spacing w:line="420" w:lineRule="exact"/>
        <w:ind w:firstLine="420"/>
        <w:rPr>
          <w:szCs w:val="21"/>
        </w:rPr>
      </w:pPr>
      <w:r>
        <w:rPr>
          <w:szCs w:val="21"/>
        </w:rPr>
        <w:t>附表二  拟配备本标段程的试验和检测仪器设备表</w:t>
      </w:r>
    </w:p>
    <w:p w14:paraId="358F0CFD">
      <w:pPr>
        <w:spacing w:line="420" w:lineRule="exact"/>
        <w:ind w:firstLine="420"/>
        <w:rPr>
          <w:szCs w:val="21"/>
        </w:rPr>
      </w:pPr>
      <w:r>
        <w:rPr>
          <w:szCs w:val="21"/>
        </w:rPr>
        <w:t>附表三  劳动力计划表</w:t>
      </w:r>
    </w:p>
    <w:p w14:paraId="4BF21F00">
      <w:pPr>
        <w:spacing w:line="420" w:lineRule="exact"/>
        <w:ind w:firstLine="420"/>
        <w:rPr>
          <w:szCs w:val="21"/>
        </w:rPr>
      </w:pPr>
      <w:r>
        <w:rPr>
          <w:szCs w:val="21"/>
        </w:rPr>
        <w:t>附表四  计划开、竣工日期和施工进度网络图</w:t>
      </w:r>
    </w:p>
    <w:p w14:paraId="229C1BB8">
      <w:pPr>
        <w:spacing w:line="420" w:lineRule="exact"/>
        <w:ind w:firstLine="420"/>
        <w:rPr>
          <w:szCs w:val="21"/>
        </w:rPr>
      </w:pPr>
      <w:r>
        <w:rPr>
          <w:szCs w:val="21"/>
        </w:rPr>
        <w:t>附表五  施工总平面图</w:t>
      </w:r>
    </w:p>
    <w:p w14:paraId="59E017B7">
      <w:pPr>
        <w:spacing w:line="420" w:lineRule="exact"/>
        <w:ind w:firstLine="420"/>
        <w:rPr>
          <w:szCs w:val="21"/>
        </w:rPr>
      </w:pPr>
      <w:r>
        <w:rPr>
          <w:szCs w:val="21"/>
        </w:rPr>
        <w:t>附表六  临时用地表</w:t>
      </w:r>
      <w:r>
        <w:br w:type="page"/>
      </w:r>
    </w:p>
    <w:p w14:paraId="04FAB854">
      <w:pPr>
        <w:keepNext/>
        <w:keepLines/>
        <w:spacing w:before="120" w:after="120" w:line="360" w:lineRule="auto"/>
        <w:jc w:val="center"/>
        <w:outlineLvl w:val="2"/>
        <w:rPr>
          <w:sz w:val="28"/>
          <w:szCs w:val="28"/>
        </w:rPr>
      </w:pPr>
      <w:bookmarkStart w:id="248" w:name="_Toc26129"/>
      <w:bookmarkEnd w:id="248"/>
      <w:bookmarkStart w:id="249" w:name="_Toc31912"/>
      <w:bookmarkEnd w:id="249"/>
      <w:r>
        <w:rPr>
          <w:rFonts w:hint="eastAsia" w:eastAsia="黑体"/>
          <w:bCs/>
          <w:sz w:val="24"/>
          <w:szCs w:val="24"/>
        </w:rPr>
        <w:t>附表一：拟投入本标段的主要施工设备表</w:t>
      </w:r>
    </w:p>
    <w:tbl>
      <w:tblPr>
        <w:tblStyle w:val="17"/>
        <w:tblW w:w="8959" w:type="dxa"/>
        <w:jc w:val="center"/>
        <w:tblLayout w:type="autofit"/>
        <w:tblCellMar>
          <w:top w:w="0" w:type="dxa"/>
          <w:left w:w="10" w:type="dxa"/>
          <w:bottom w:w="0" w:type="dxa"/>
          <w:right w:w="10" w:type="dxa"/>
        </w:tblCellMar>
      </w:tblPr>
      <w:tblGrid>
        <w:gridCol w:w="681"/>
        <w:gridCol w:w="1111"/>
        <w:gridCol w:w="779"/>
        <w:gridCol w:w="1012"/>
        <w:gridCol w:w="690"/>
        <w:gridCol w:w="753"/>
        <w:gridCol w:w="1245"/>
        <w:gridCol w:w="896"/>
        <w:gridCol w:w="1084"/>
        <w:gridCol w:w="708"/>
      </w:tblGrid>
      <w:tr w14:paraId="368B7D35">
        <w:tblPrEx>
          <w:tblCellMar>
            <w:top w:w="0" w:type="dxa"/>
            <w:left w:w="10" w:type="dxa"/>
            <w:bottom w:w="0" w:type="dxa"/>
            <w:right w:w="10" w:type="dxa"/>
          </w:tblCellMar>
        </w:tblPrEx>
        <w:trPr>
          <w:trHeight w:val="889" w:hRule="exact"/>
          <w:jc w:val="center"/>
        </w:trPr>
        <w:tc>
          <w:tcPr>
            <w:tcW w:w="68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17E10C3">
            <w:pPr>
              <w:spacing w:line="360" w:lineRule="auto"/>
              <w:jc w:val="center"/>
              <w:rPr>
                <w:b/>
                <w:bCs/>
                <w:sz w:val="24"/>
              </w:rPr>
            </w:pPr>
            <w:r>
              <w:rPr>
                <w:b/>
                <w:bCs/>
              </w:rPr>
              <w:t>序号</w:t>
            </w:r>
          </w:p>
        </w:tc>
        <w:tc>
          <w:tcPr>
            <w:tcW w:w="111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C55BCB0">
            <w:pPr>
              <w:spacing w:line="360" w:lineRule="auto"/>
              <w:jc w:val="center"/>
              <w:rPr>
                <w:b/>
                <w:bCs/>
                <w:sz w:val="24"/>
              </w:rPr>
            </w:pPr>
            <w:r>
              <w:rPr>
                <w:b/>
                <w:bCs/>
              </w:rPr>
              <w:t>设备名称</w:t>
            </w:r>
          </w:p>
        </w:tc>
        <w:tc>
          <w:tcPr>
            <w:tcW w:w="7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034A075">
            <w:pPr>
              <w:spacing w:line="300" w:lineRule="exact"/>
              <w:jc w:val="center"/>
              <w:rPr>
                <w:b/>
                <w:bCs/>
              </w:rPr>
            </w:pPr>
            <w:r>
              <w:rPr>
                <w:b/>
                <w:bCs/>
              </w:rPr>
              <w:t>型号</w:t>
            </w:r>
          </w:p>
          <w:p w14:paraId="7DFC46FF">
            <w:pPr>
              <w:spacing w:line="300" w:lineRule="exact"/>
              <w:jc w:val="center"/>
              <w:rPr>
                <w:b/>
                <w:bCs/>
                <w:sz w:val="24"/>
              </w:rPr>
            </w:pPr>
            <w:r>
              <w:rPr>
                <w:b/>
                <w:bCs/>
              </w:rPr>
              <w:t>规格</w:t>
            </w:r>
          </w:p>
        </w:tc>
        <w:tc>
          <w:tcPr>
            <w:tcW w:w="10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23CA211">
            <w:pPr>
              <w:spacing w:line="360" w:lineRule="auto"/>
              <w:jc w:val="center"/>
              <w:rPr>
                <w:b/>
                <w:bCs/>
                <w:sz w:val="24"/>
              </w:rPr>
            </w:pPr>
            <w:r>
              <w:rPr>
                <w:b/>
                <w:bCs/>
              </w:rPr>
              <w:t>数量</w:t>
            </w:r>
          </w:p>
        </w:tc>
        <w:tc>
          <w:tcPr>
            <w:tcW w:w="6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B2250F2">
            <w:pPr>
              <w:spacing w:line="300" w:lineRule="exact"/>
              <w:jc w:val="center"/>
              <w:rPr>
                <w:b/>
                <w:bCs/>
              </w:rPr>
            </w:pPr>
            <w:r>
              <w:rPr>
                <w:b/>
                <w:bCs/>
              </w:rPr>
              <w:t>国别 产地</w:t>
            </w:r>
          </w:p>
        </w:tc>
        <w:tc>
          <w:tcPr>
            <w:tcW w:w="7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E884DE5">
            <w:pPr>
              <w:spacing w:line="300" w:lineRule="exact"/>
              <w:jc w:val="center"/>
              <w:rPr>
                <w:b/>
                <w:bCs/>
              </w:rPr>
            </w:pPr>
            <w:r>
              <w:rPr>
                <w:b/>
                <w:bCs/>
              </w:rPr>
              <w:t>制造 年份</w:t>
            </w:r>
          </w:p>
        </w:tc>
        <w:tc>
          <w:tcPr>
            <w:tcW w:w="124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E213F4D">
            <w:pPr>
              <w:spacing w:line="300" w:lineRule="exact"/>
              <w:jc w:val="center"/>
              <w:rPr>
                <w:b/>
                <w:bCs/>
              </w:rPr>
            </w:pPr>
            <w:r>
              <w:rPr>
                <w:b/>
                <w:bCs/>
              </w:rPr>
              <w:t>额定功率</w:t>
            </w:r>
          </w:p>
          <w:p w14:paraId="5C866994">
            <w:pPr>
              <w:spacing w:line="300" w:lineRule="exact"/>
              <w:jc w:val="center"/>
              <w:rPr>
                <w:b/>
                <w:bCs/>
              </w:rPr>
            </w:pPr>
            <w:r>
              <w:rPr>
                <w:b/>
                <w:bCs/>
              </w:rPr>
              <w:t>（KW）</w:t>
            </w:r>
          </w:p>
        </w:tc>
        <w:tc>
          <w:tcPr>
            <w:tcW w:w="89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B8D2F4E">
            <w:pPr>
              <w:spacing w:line="300" w:lineRule="exact"/>
              <w:jc w:val="center"/>
              <w:rPr>
                <w:b/>
                <w:bCs/>
              </w:rPr>
            </w:pPr>
            <w:r>
              <w:rPr>
                <w:b/>
                <w:bCs/>
              </w:rPr>
              <w:t>生产</w:t>
            </w:r>
          </w:p>
          <w:p w14:paraId="625C8353">
            <w:pPr>
              <w:spacing w:line="300" w:lineRule="exact"/>
              <w:jc w:val="center"/>
              <w:rPr>
                <w:b/>
                <w:bCs/>
              </w:rPr>
            </w:pPr>
            <w:r>
              <w:rPr>
                <w:b/>
                <w:bCs/>
              </w:rPr>
              <w:t>能力</w:t>
            </w:r>
          </w:p>
        </w:tc>
        <w:tc>
          <w:tcPr>
            <w:tcW w:w="108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226E5A4">
            <w:pPr>
              <w:spacing w:line="300" w:lineRule="exact"/>
              <w:jc w:val="center"/>
              <w:rPr>
                <w:b/>
                <w:bCs/>
              </w:rPr>
            </w:pPr>
            <w:r>
              <w:rPr>
                <w:b/>
                <w:bCs/>
              </w:rPr>
              <w:t>用于施</w:t>
            </w:r>
          </w:p>
          <w:p w14:paraId="794479ED">
            <w:pPr>
              <w:spacing w:line="300" w:lineRule="exact"/>
              <w:jc w:val="center"/>
              <w:rPr>
                <w:b/>
                <w:bCs/>
              </w:rPr>
            </w:pPr>
            <w:r>
              <w:rPr>
                <w:b/>
                <w:bCs/>
              </w:rPr>
              <w:t>工部位</w:t>
            </w:r>
          </w:p>
        </w:tc>
        <w:tc>
          <w:tcPr>
            <w:tcW w:w="70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3065F86">
            <w:pPr>
              <w:spacing w:line="360" w:lineRule="auto"/>
              <w:jc w:val="center"/>
              <w:rPr>
                <w:b/>
                <w:bCs/>
                <w:sz w:val="24"/>
              </w:rPr>
            </w:pPr>
            <w:r>
              <w:rPr>
                <w:b/>
                <w:bCs/>
              </w:rPr>
              <w:t>备注</w:t>
            </w:r>
          </w:p>
        </w:tc>
      </w:tr>
      <w:tr w14:paraId="07755812">
        <w:tblPrEx>
          <w:tblCellMar>
            <w:top w:w="0" w:type="dxa"/>
            <w:left w:w="10" w:type="dxa"/>
            <w:bottom w:w="0" w:type="dxa"/>
            <w:right w:w="10" w:type="dxa"/>
          </w:tblCellMar>
        </w:tblPrEx>
        <w:trPr>
          <w:trHeight w:val="450" w:hRule="exact"/>
          <w:jc w:val="center"/>
        </w:trPr>
        <w:tc>
          <w:tcPr>
            <w:tcW w:w="68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4F38D1">
            <w:pPr>
              <w:spacing w:line="360" w:lineRule="auto"/>
              <w:jc w:val="center"/>
              <w:rPr>
                <w:sz w:val="24"/>
              </w:rPr>
            </w:pPr>
          </w:p>
        </w:tc>
        <w:tc>
          <w:tcPr>
            <w:tcW w:w="111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A43663F">
            <w:pPr>
              <w:spacing w:line="360" w:lineRule="auto"/>
              <w:jc w:val="center"/>
              <w:rPr>
                <w:sz w:val="24"/>
              </w:rPr>
            </w:pPr>
          </w:p>
        </w:tc>
        <w:tc>
          <w:tcPr>
            <w:tcW w:w="7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6B63AD5">
            <w:pPr>
              <w:spacing w:line="360" w:lineRule="auto"/>
              <w:jc w:val="center"/>
              <w:rPr>
                <w:sz w:val="24"/>
              </w:rPr>
            </w:pPr>
          </w:p>
        </w:tc>
        <w:tc>
          <w:tcPr>
            <w:tcW w:w="10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7FBBCD8">
            <w:pPr>
              <w:spacing w:line="360" w:lineRule="auto"/>
              <w:jc w:val="center"/>
              <w:rPr>
                <w:sz w:val="24"/>
              </w:rPr>
            </w:pPr>
          </w:p>
        </w:tc>
        <w:tc>
          <w:tcPr>
            <w:tcW w:w="6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887E8A">
            <w:pPr>
              <w:spacing w:line="360" w:lineRule="auto"/>
              <w:jc w:val="center"/>
              <w:rPr>
                <w:sz w:val="24"/>
              </w:rPr>
            </w:pPr>
          </w:p>
        </w:tc>
        <w:tc>
          <w:tcPr>
            <w:tcW w:w="7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6B4654">
            <w:pPr>
              <w:spacing w:line="360" w:lineRule="auto"/>
              <w:jc w:val="center"/>
              <w:rPr>
                <w:sz w:val="24"/>
              </w:rPr>
            </w:pPr>
          </w:p>
        </w:tc>
        <w:tc>
          <w:tcPr>
            <w:tcW w:w="124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875E852">
            <w:pPr>
              <w:spacing w:line="360" w:lineRule="auto"/>
              <w:jc w:val="center"/>
              <w:rPr>
                <w:sz w:val="24"/>
              </w:rPr>
            </w:pPr>
          </w:p>
        </w:tc>
        <w:tc>
          <w:tcPr>
            <w:tcW w:w="89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5E6988">
            <w:pPr>
              <w:spacing w:line="360" w:lineRule="auto"/>
              <w:jc w:val="center"/>
              <w:rPr>
                <w:sz w:val="24"/>
              </w:rPr>
            </w:pPr>
          </w:p>
        </w:tc>
        <w:tc>
          <w:tcPr>
            <w:tcW w:w="108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70354C9">
            <w:pPr>
              <w:spacing w:line="360" w:lineRule="auto"/>
              <w:jc w:val="center"/>
              <w:rPr>
                <w:sz w:val="24"/>
              </w:rPr>
            </w:pPr>
          </w:p>
        </w:tc>
        <w:tc>
          <w:tcPr>
            <w:tcW w:w="70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D85658">
            <w:pPr>
              <w:spacing w:line="360" w:lineRule="auto"/>
              <w:jc w:val="center"/>
              <w:rPr>
                <w:sz w:val="24"/>
              </w:rPr>
            </w:pPr>
          </w:p>
        </w:tc>
      </w:tr>
      <w:tr w14:paraId="1303CF1E">
        <w:tblPrEx>
          <w:tblCellMar>
            <w:top w:w="0" w:type="dxa"/>
            <w:left w:w="10" w:type="dxa"/>
            <w:bottom w:w="0" w:type="dxa"/>
            <w:right w:w="10" w:type="dxa"/>
          </w:tblCellMar>
        </w:tblPrEx>
        <w:trPr>
          <w:trHeight w:val="450" w:hRule="exact"/>
          <w:jc w:val="center"/>
        </w:trPr>
        <w:tc>
          <w:tcPr>
            <w:tcW w:w="68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BC065CF">
            <w:pPr>
              <w:spacing w:line="360" w:lineRule="auto"/>
              <w:jc w:val="center"/>
              <w:rPr>
                <w:sz w:val="24"/>
              </w:rPr>
            </w:pPr>
          </w:p>
        </w:tc>
        <w:tc>
          <w:tcPr>
            <w:tcW w:w="111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0E83AC">
            <w:pPr>
              <w:spacing w:line="360" w:lineRule="auto"/>
              <w:jc w:val="center"/>
              <w:rPr>
                <w:sz w:val="24"/>
              </w:rPr>
            </w:pPr>
          </w:p>
        </w:tc>
        <w:tc>
          <w:tcPr>
            <w:tcW w:w="7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ADE56A5">
            <w:pPr>
              <w:spacing w:line="360" w:lineRule="auto"/>
              <w:jc w:val="center"/>
              <w:rPr>
                <w:sz w:val="24"/>
              </w:rPr>
            </w:pPr>
          </w:p>
        </w:tc>
        <w:tc>
          <w:tcPr>
            <w:tcW w:w="10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AEC6C4">
            <w:pPr>
              <w:spacing w:line="360" w:lineRule="auto"/>
              <w:jc w:val="center"/>
              <w:rPr>
                <w:sz w:val="24"/>
              </w:rPr>
            </w:pPr>
          </w:p>
        </w:tc>
        <w:tc>
          <w:tcPr>
            <w:tcW w:w="6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0C2A57">
            <w:pPr>
              <w:spacing w:line="360" w:lineRule="auto"/>
              <w:jc w:val="center"/>
              <w:rPr>
                <w:sz w:val="24"/>
              </w:rPr>
            </w:pPr>
          </w:p>
        </w:tc>
        <w:tc>
          <w:tcPr>
            <w:tcW w:w="7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C11CFA">
            <w:pPr>
              <w:spacing w:line="360" w:lineRule="auto"/>
              <w:jc w:val="center"/>
              <w:rPr>
                <w:sz w:val="24"/>
              </w:rPr>
            </w:pPr>
          </w:p>
        </w:tc>
        <w:tc>
          <w:tcPr>
            <w:tcW w:w="124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68186B3">
            <w:pPr>
              <w:spacing w:line="360" w:lineRule="auto"/>
              <w:jc w:val="center"/>
              <w:rPr>
                <w:sz w:val="24"/>
              </w:rPr>
            </w:pPr>
          </w:p>
        </w:tc>
        <w:tc>
          <w:tcPr>
            <w:tcW w:w="89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195FBD">
            <w:pPr>
              <w:spacing w:line="360" w:lineRule="auto"/>
              <w:jc w:val="center"/>
              <w:rPr>
                <w:sz w:val="24"/>
              </w:rPr>
            </w:pPr>
          </w:p>
        </w:tc>
        <w:tc>
          <w:tcPr>
            <w:tcW w:w="108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27A9FEA">
            <w:pPr>
              <w:spacing w:line="360" w:lineRule="auto"/>
              <w:jc w:val="center"/>
              <w:rPr>
                <w:sz w:val="24"/>
              </w:rPr>
            </w:pPr>
          </w:p>
        </w:tc>
        <w:tc>
          <w:tcPr>
            <w:tcW w:w="70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555AE13">
            <w:pPr>
              <w:spacing w:line="360" w:lineRule="auto"/>
              <w:jc w:val="center"/>
              <w:rPr>
                <w:sz w:val="24"/>
              </w:rPr>
            </w:pPr>
          </w:p>
        </w:tc>
      </w:tr>
      <w:tr w14:paraId="42E18E4E">
        <w:tblPrEx>
          <w:tblCellMar>
            <w:top w:w="0" w:type="dxa"/>
            <w:left w:w="10" w:type="dxa"/>
            <w:bottom w:w="0" w:type="dxa"/>
            <w:right w:w="10" w:type="dxa"/>
          </w:tblCellMar>
        </w:tblPrEx>
        <w:trPr>
          <w:trHeight w:val="450" w:hRule="exact"/>
          <w:jc w:val="center"/>
        </w:trPr>
        <w:tc>
          <w:tcPr>
            <w:tcW w:w="68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42D7EED">
            <w:pPr>
              <w:spacing w:line="360" w:lineRule="auto"/>
              <w:jc w:val="center"/>
              <w:rPr>
                <w:sz w:val="24"/>
              </w:rPr>
            </w:pPr>
          </w:p>
        </w:tc>
        <w:tc>
          <w:tcPr>
            <w:tcW w:w="111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06B1973">
            <w:pPr>
              <w:spacing w:line="360" w:lineRule="auto"/>
              <w:jc w:val="center"/>
              <w:rPr>
                <w:sz w:val="24"/>
              </w:rPr>
            </w:pPr>
          </w:p>
        </w:tc>
        <w:tc>
          <w:tcPr>
            <w:tcW w:w="7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7BC11F8">
            <w:pPr>
              <w:spacing w:line="360" w:lineRule="auto"/>
              <w:jc w:val="center"/>
              <w:rPr>
                <w:sz w:val="24"/>
              </w:rPr>
            </w:pPr>
          </w:p>
        </w:tc>
        <w:tc>
          <w:tcPr>
            <w:tcW w:w="10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50A0B9F">
            <w:pPr>
              <w:spacing w:line="360" w:lineRule="auto"/>
              <w:jc w:val="center"/>
              <w:rPr>
                <w:sz w:val="24"/>
              </w:rPr>
            </w:pPr>
          </w:p>
        </w:tc>
        <w:tc>
          <w:tcPr>
            <w:tcW w:w="6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D6C92E7">
            <w:pPr>
              <w:spacing w:line="360" w:lineRule="auto"/>
              <w:jc w:val="center"/>
              <w:rPr>
                <w:sz w:val="24"/>
              </w:rPr>
            </w:pPr>
          </w:p>
        </w:tc>
        <w:tc>
          <w:tcPr>
            <w:tcW w:w="7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94C6DFB">
            <w:pPr>
              <w:spacing w:line="360" w:lineRule="auto"/>
              <w:jc w:val="center"/>
              <w:rPr>
                <w:sz w:val="24"/>
              </w:rPr>
            </w:pPr>
          </w:p>
        </w:tc>
        <w:tc>
          <w:tcPr>
            <w:tcW w:w="124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423E34B">
            <w:pPr>
              <w:spacing w:line="360" w:lineRule="auto"/>
              <w:jc w:val="center"/>
              <w:rPr>
                <w:sz w:val="24"/>
              </w:rPr>
            </w:pPr>
          </w:p>
        </w:tc>
        <w:tc>
          <w:tcPr>
            <w:tcW w:w="89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D37510">
            <w:pPr>
              <w:spacing w:line="360" w:lineRule="auto"/>
              <w:jc w:val="center"/>
              <w:rPr>
                <w:sz w:val="24"/>
              </w:rPr>
            </w:pPr>
          </w:p>
        </w:tc>
        <w:tc>
          <w:tcPr>
            <w:tcW w:w="108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E3E9EDC">
            <w:pPr>
              <w:spacing w:line="360" w:lineRule="auto"/>
              <w:jc w:val="center"/>
              <w:rPr>
                <w:sz w:val="24"/>
              </w:rPr>
            </w:pPr>
          </w:p>
        </w:tc>
        <w:tc>
          <w:tcPr>
            <w:tcW w:w="70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6132AB">
            <w:pPr>
              <w:spacing w:line="360" w:lineRule="auto"/>
              <w:jc w:val="center"/>
              <w:rPr>
                <w:sz w:val="24"/>
              </w:rPr>
            </w:pPr>
          </w:p>
        </w:tc>
      </w:tr>
    </w:tbl>
    <w:p w14:paraId="621D2B6A">
      <w:pPr>
        <w:spacing w:after="120"/>
        <w:jc w:val="center"/>
        <w:rPr>
          <w:sz w:val="28"/>
          <w:szCs w:val="28"/>
        </w:rPr>
      </w:pPr>
    </w:p>
    <w:p w14:paraId="14175CA0">
      <w:pPr>
        <w:keepNext/>
        <w:keepLines/>
        <w:spacing w:before="120" w:after="120" w:line="360" w:lineRule="auto"/>
        <w:jc w:val="center"/>
        <w:outlineLvl w:val="2"/>
        <w:rPr>
          <w:rFonts w:eastAsia="黑体"/>
          <w:bCs/>
          <w:sz w:val="24"/>
          <w:szCs w:val="24"/>
        </w:rPr>
      </w:pPr>
      <w:bookmarkStart w:id="250" w:name="_Toc23087"/>
      <w:bookmarkEnd w:id="250"/>
      <w:bookmarkStart w:id="251" w:name="_Toc3622"/>
      <w:bookmarkEnd w:id="251"/>
      <w:r>
        <w:rPr>
          <w:rFonts w:hint="eastAsia" w:eastAsia="黑体"/>
          <w:bCs/>
          <w:sz w:val="24"/>
          <w:szCs w:val="24"/>
        </w:rPr>
        <w:t>附表二：拟配备本标段的试验和检测仪器设备表</w:t>
      </w:r>
    </w:p>
    <w:tbl>
      <w:tblPr>
        <w:tblStyle w:val="17"/>
        <w:tblW w:w="8467" w:type="dxa"/>
        <w:jc w:val="center"/>
        <w:tblLayout w:type="autofit"/>
        <w:tblCellMar>
          <w:top w:w="0" w:type="dxa"/>
          <w:left w:w="10" w:type="dxa"/>
          <w:bottom w:w="0" w:type="dxa"/>
          <w:right w:w="10" w:type="dxa"/>
        </w:tblCellMar>
      </w:tblPr>
      <w:tblGrid>
        <w:gridCol w:w="666"/>
        <w:gridCol w:w="1087"/>
        <w:gridCol w:w="760"/>
        <w:gridCol w:w="991"/>
        <w:gridCol w:w="672"/>
        <w:gridCol w:w="738"/>
        <w:gridCol w:w="1212"/>
        <w:gridCol w:w="1654"/>
        <w:gridCol w:w="687"/>
      </w:tblGrid>
      <w:tr w14:paraId="5188988D">
        <w:tblPrEx>
          <w:tblCellMar>
            <w:top w:w="0" w:type="dxa"/>
            <w:left w:w="10" w:type="dxa"/>
            <w:bottom w:w="0" w:type="dxa"/>
            <w:right w:w="10" w:type="dxa"/>
          </w:tblCellMar>
        </w:tblPrEx>
        <w:trPr>
          <w:trHeight w:val="889" w:hRule="exact"/>
          <w:jc w:val="center"/>
        </w:trPr>
        <w:tc>
          <w:tcPr>
            <w:tcW w:w="6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F4914CE">
            <w:pPr>
              <w:spacing w:line="300" w:lineRule="exact"/>
              <w:jc w:val="center"/>
              <w:rPr>
                <w:b/>
                <w:bCs/>
              </w:rPr>
            </w:pPr>
            <w:r>
              <w:rPr>
                <w:b/>
                <w:bCs/>
              </w:rPr>
              <w:t>序号</w:t>
            </w:r>
          </w:p>
        </w:tc>
        <w:tc>
          <w:tcPr>
            <w:tcW w:w="10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1B002E6">
            <w:pPr>
              <w:spacing w:line="300" w:lineRule="exact"/>
              <w:jc w:val="center"/>
              <w:rPr>
                <w:b/>
                <w:bCs/>
              </w:rPr>
            </w:pPr>
            <w:r>
              <w:rPr>
                <w:b/>
                <w:bCs/>
              </w:rPr>
              <w:t>仪器设备　 名　　称</w:t>
            </w:r>
          </w:p>
        </w:tc>
        <w:tc>
          <w:tcPr>
            <w:tcW w:w="7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86BDFCA">
            <w:pPr>
              <w:spacing w:line="300" w:lineRule="exact"/>
              <w:jc w:val="center"/>
              <w:rPr>
                <w:b/>
                <w:bCs/>
              </w:rPr>
            </w:pPr>
            <w:r>
              <w:rPr>
                <w:b/>
                <w:bCs/>
              </w:rPr>
              <w:t>型号 　规格</w:t>
            </w:r>
          </w:p>
        </w:tc>
        <w:tc>
          <w:tcPr>
            <w:tcW w:w="99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D74FEA1">
            <w:pPr>
              <w:spacing w:line="300" w:lineRule="exact"/>
              <w:jc w:val="center"/>
              <w:rPr>
                <w:b/>
                <w:bCs/>
              </w:rPr>
            </w:pPr>
            <w:r>
              <w:rPr>
                <w:b/>
                <w:bCs/>
              </w:rPr>
              <w:t>数量</w:t>
            </w:r>
          </w:p>
        </w:tc>
        <w:tc>
          <w:tcPr>
            <w:tcW w:w="6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C5953D0">
            <w:pPr>
              <w:spacing w:line="300" w:lineRule="exact"/>
              <w:jc w:val="center"/>
              <w:rPr>
                <w:b/>
                <w:bCs/>
              </w:rPr>
            </w:pPr>
            <w:r>
              <w:rPr>
                <w:b/>
                <w:bCs/>
              </w:rPr>
              <w:t>国别 产地</w:t>
            </w:r>
          </w:p>
        </w:tc>
        <w:tc>
          <w:tcPr>
            <w:tcW w:w="7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9F10690">
            <w:pPr>
              <w:spacing w:line="300" w:lineRule="exact"/>
              <w:jc w:val="center"/>
              <w:rPr>
                <w:b/>
                <w:bCs/>
              </w:rPr>
            </w:pPr>
            <w:r>
              <w:rPr>
                <w:b/>
                <w:bCs/>
              </w:rPr>
              <w:t>制造 年份</w:t>
            </w:r>
          </w:p>
        </w:tc>
        <w:tc>
          <w:tcPr>
            <w:tcW w:w="12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E959E67">
            <w:pPr>
              <w:spacing w:line="300" w:lineRule="exact"/>
              <w:jc w:val="center"/>
              <w:rPr>
                <w:b/>
                <w:bCs/>
              </w:rPr>
            </w:pPr>
            <w:r>
              <w:rPr>
                <w:b/>
                <w:bCs/>
              </w:rPr>
              <w:t>已使用</w:t>
            </w:r>
          </w:p>
          <w:p w14:paraId="6CEA91F5">
            <w:pPr>
              <w:spacing w:line="300" w:lineRule="exact"/>
              <w:jc w:val="center"/>
              <w:rPr>
                <w:b/>
                <w:bCs/>
              </w:rPr>
            </w:pPr>
            <w:r>
              <w:rPr>
                <w:b/>
                <w:bCs/>
              </w:rPr>
              <w:t>台时数</w:t>
            </w:r>
          </w:p>
        </w:tc>
        <w:tc>
          <w:tcPr>
            <w:tcW w:w="165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DEE5B36">
            <w:pPr>
              <w:spacing w:line="300" w:lineRule="exact"/>
              <w:jc w:val="center"/>
              <w:rPr>
                <w:b/>
                <w:bCs/>
              </w:rPr>
            </w:pPr>
            <w:r>
              <w:rPr>
                <w:b/>
                <w:bCs/>
              </w:rPr>
              <w:t>用途</w:t>
            </w:r>
          </w:p>
        </w:tc>
        <w:tc>
          <w:tcPr>
            <w:tcW w:w="6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C2E2685">
            <w:pPr>
              <w:spacing w:line="300" w:lineRule="exact"/>
              <w:jc w:val="center"/>
              <w:rPr>
                <w:b/>
                <w:bCs/>
              </w:rPr>
            </w:pPr>
            <w:r>
              <w:rPr>
                <w:b/>
                <w:bCs/>
              </w:rPr>
              <w:t>备注</w:t>
            </w:r>
          </w:p>
        </w:tc>
      </w:tr>
      <w:tr w14:paraId="6D38674C">
        <w:tblPrEx>
          <w:tblCellMar>
            <w:top w:w="0" w:type="dxa"/>
            <w:left w:w="10" w:type="dxa"/>
            <w:bottom w:w="0" w:type="dxa"/>
            <w:right w:w="10" w:type="dxa"/>
          </w:tblCellMar>
        </w:tblPrEx>
        <w:trPr>
          <w:trHeight w:val="450" w:hRule="exact"/>
          <w:jc w:val="center"/>
        </w:trPr>
        <w:tc>
          <w:tcPr>
            <w:tcW w:w="6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0514A12">
            <w:pPr>
              <w:spacing w:line="360" w:lineRule="auto"/>
              <w:jc w:val="center"/>
              <w:rPr>
                <w:sz w:val="24"/>
              </w:rPr>
            </w:pPr>
          </w:p>
        </w:tc>
        <w:tc>
          <w:tcPr>
            <w:tcW w:w="10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99336C8">
            <w:pPr>
              <w:spacing w:line="360" w:lineRule="auto"/>
              <w:jc w:val="center"/>
              <w:rPr>
                <w:sz w:val="24"/>
              </w:rPr>
            </w:pPr>
          </w:p>
        </w:tc>
        <w:tc>
          <w:tcPr>
            <w:tcW w:w="7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FA970DF">
            <w:pPr>
              <w:spacing w:line="360" w:lineRule="auto"/>
              <w:jc w:val="center"/>
              <w:rPr>
                <w:sz w:val="24"/>
              </w:rPr>
            </w:pPr>
          </w:p>
        </w:tc>
        <w:tc>
          <w:tcPr>
            <w:tcW w:w="99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25BF78D">
            <w:pPr>
              <w:spacing w:line="360" w:lineRule="auto"/>
              <w:jc w:val="center"/>
              <w:rPr>
                <w:sz w:val="24"/>
              </w:rPr>
            </w:pPr>
          </w:p>
        </w:tc>
        <w:tc>
          <w:tcPr>
            <w:tcW w:w="6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D349C36">
            <w:pPr>
              <w:spacing w:line="360" w:lineRule="auto"/>
              <w:jc w:val="center"/>
              <w:rPr>
                <w:sz w:val="24"/>
              </w:rPr>
            </w:pPr>
          </w:p>
        </w:tc>
        <w:tc>
          <w:tcPr>
            <w:tcW w:w="7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659A21B">
            <w:pPr>
              <w:spacing w:line="360" w:lineRule="auto"/>
              <w:jc w:val="center"/>
              <w:rPr>
                <w:sz w:val="24"/>
              </w:rPr>
            </w:pPr>
          </w:p>
        </w:tc>
        <w:tc>
          <w:tcPr>
            <w:tcW w:w="12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7AC9B3C">
            <w:pPr>
              <w:spacing w:line="360" w:lineRule="auto"/>
              <w:jc w:val="center"/>
              <w:rPr>
                <w:sz w:val="24"/>
              </w:rPr>
            </w:pPr>
          </w:p>
        </w:tc>
        <w:tc>
          <w:tcPr>
            <w:tcW w:w="165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CC13D5">
            <w:pPr>
              <w:spacing w:line="360" w:lineRule="auto"/>
              <w:jc w:val="center"/>
              <w:rPr>
                <w:sz w:val="24"/>
              </w:rPr>
            </w:pPr>
          </w:p>
        </w:tc>
        <w:tc>
          <w:tcPr>
            <w:tcW w:w="6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218D59">
            <w:pPr>
              <w:spacing w:line="360" w:lineRule="auto"/>
              <w:jc w:val="center"/>
              <w:rPr>
                <w:sz w:val="24"/>
              </w:rPr>
            </w:pPr>
          </w:p>
        </w:tc>
      </w:tr>
      <w:tr w14:paraId="0F8FF2B5">
        <w:tblPrEx>
          <w:tblCellMar>
            <w:top w:w="0" w:type="dxa"/>
            <w:left w:w="10" w:type="dxa"/>
            <w:bottom w:w="0" w:type="dxa"/>
            <w:right w:w="10" w:type="dxa"/>
          </w:tblCellMar>
        </w:tblPrEx>
        <w:trPr>
          <w:trHeight w:val="450" w:hRule="exact"/>
          <w:jc w:val="center"/>
        </w:trPr>
        <w:tc>
          <w:tcPr>
            <w:tcW w:w="6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7DFB1E4">
            <w:pPr>
              <w:spacing w:line="360" w:lineRule="auto"/>
              <w:jc w:val="center"/>
              <w:rPr>
                <w:sz w:val="24"/>
              </w:rPr>
            </w:pPr>
          </w:p>
        </w:tc>
        <w:tc>
          <w:tcPr>
            <w:tcW w:w="10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BB8453B">
            <w:pPr>
              <w:spacing w:line="360" w:lineRule="auto"/>
              <w:jc w:val="center"/>
              <w:rPr>
                <w:sz w:val="24"/>
              </w:rPr>
            </w:pPr>
          </w:p>
        </w:tc>
        <w:tc>
          <w:tcPr>
            <w:tcW w:w="7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744B442">
            <w:pPr>
              <w:spacing w:line="360" w:lineRule="auto"/>
              <w:jc w:val="center"/>
              <w:rPr>
                <w:sz w:val="24"/>
              </w:rPr>
            </w:pPr>
          </w:p>
        </w:tc>
        <w:tc>
          <w:tcPr>
            <w:tcW w:w="99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1C4414A">
            <w:pPr>
              <w:spacing w:line="360" w:lineRule="auto"/>
              <w:jc w:val="center"/>
              <w:rPr>
                <w:sz w:val="24"/>
              </w:rPr>
            </w:pPr>
          </w:p>
        </w:tc>
        <w:tc>
          <w:tcPr>
            <w:tcW w:w="6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096A5C">
            <w:pPr>
              <w:spacing w:line="360" w:lineRule="auto"/>
              <w:jc w:val="center"/>
              <w:rPr>
                <w:sz w:val="24"/>
              </w:rPr>
            </w:pPr>
          </w:p>
        </w:tc>
        <w:tc>
          <w:tcPr>
            <w:tcW w:w="7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14200EB">
            <w:pPr>
              <w:spacing w:line="360" w:lineRule="auto"/>
              <w:jc w:val="center"/>
              <w:rPr>
                <w:sz w:val="24"/>
              </w:rPr>
            </w:pPr>
          </w:p>
        </w:tc>
        <w:tc>
          <w:tcPr>
            <w:tcW w:w="12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C2A2BBD">
            <w:pPr>
              <w:spacing w:line="360" w:lineRule="auto"/>
              <w:jc w:val="center"/>
              <w:rPr>
                <w:sz w:val="24"/>
              </w:rPr>
            </w:pPr>
          </w:p>
        </w:tc>
        <w:tc>
          <w:tcPr>
            <w:tcW w:w="165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8DCB3F9">
            <w:pPr>
              <w:spacing w:line="360" w:lineRule="auto"/>
              <w:jc w:val="center"/>
              <w:rPr>
                <w:sz w:val="24"/>
              </w:rPr>
            </w:pPr>
          </w:p>
        </w:tc>
        <w:tc>
          <w:tcPr>
            <w:tcW w:w="6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F127C9">
            <w:pPr>
              <w:spacing w:line="360" w:lineRule="auto"/>
              <w:jc w:val="center"/>
              <w:rPr>
                <w:sz w:val="24"/>
              </w:rPr>
            </w:pPr>
          </w:p>
        </w:tc>
      </w:tr>
      <w:tr w14:paraId="2BDA9FEA">
        <w:tblPrEx>
          <w:tblCellMar>
            <w:top w:w="0" w:type="dxa"/>
            <w:left w:w="10" w:type="dxa"/>
            <w:bottom w:w="0" w:type="dxa"/>
            <w:right w:w="10" w:type="dxa"/>
          </w:tblCellMar>
        </w:tblPrEx>
        <w:trPr>
          <w:trHeight w:val="450" w:hRule="exact"/>
          <w:jc w:val="center"/>
        </w:trPr>
        <w:tc>
          <w:tcPr>
            <w:tcW w:w="66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5ED56F">
            <w:pPr>
              <w:spacing w:line="360" w:lineRule="auto"/>
              <w:jc w:val="center"/>
              <w:rPr>
                <w:sz w:val="24"/>
              </w:rPr>
            </w:pPr>
          </w:p>
        </w:tc>
        <w:tc>
          <w:tcPr>
            <w:tcW w:w="10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12EC855">
            <w:pPr>
              <w:spacing w:line="360" w:lineRule="auto"/>
              <w:jc w:val="center"/>
              <w:rPr>
                <w:sz w:val="24"/>
              </w:rPr>
            </w:pPr>
          </w:p>
        </w:tc>
        <w:tc>
          <w:tcPr>
            <w:tcW w:w="7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AC849E2">
            <w:pPr>
              <w:spacing w:line="360" w:lineRule="auto"/>
              <w:jc w:val="center"/>
              <w:rPr>
                <w:sz w:val="24"/>
              </w:rPr>
            </w:pPr>
          </w:p>
        </w:tc>
        <w:tc>
          <w:tcPr>
            <w:tcW w:w="99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0C7373F">
            <w:pPr>
              <w:spacing w:line="360" w:lineRule="auto"/>
              <w:jc w:val="center"/>
              <w:rPr>
                <w:sz w:val="24"/>
              </w:rPr>
            </w:pPr>
          </w:p>
        </w:tc>
        <w:tc>
          <w:tcPr>
            <w:tcW w:w="67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59F450D">
            <w:pPr>
              <w:spacing w:line="360" w:lineRule="auto"/>
              <w:jc w:val="center"/>
              <w:rPr>
                <w:sz w:val="24"/>
              </w:rPr>
            </w:pPr>
          </w:p>
        </w:tc>
        <w:tc>
          <w:tcPr>
            <w:tcW w:w="7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A28E368">
            <w:pPr>
              <w:spacing w:line="360" w:lineRule="auto"/>
              <w:jc w:val="center"/>
              <w:rPr>
                <w:sz w:val="24"/>
              </w:rPr>
            </w:pPr>
          </w:p>
        </w:tc>
        <w:tc>
          <w:tcPr>
            <w:tcW w:w="121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DA8E4E5">
            <w:pPr>
              <w:spacing w:line="360" w:lineRule="auto"/>
              <w:jc w:val="center"/>
              <w:rPr>
                <w:sz w:val="24"/>
              </w:rPr>
            </w:pPr>
          </w:p>
        </w:tc>
        <w:tc>
          <w:tcPr>
            <w:tcW w:w="165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621669">
            <w:pPr>
              <w:spacing w:line="360" w:lineRule="auto"/>
              <w:jc w:val="center"/>
              <w:rPr>
                <w:sz w:val="24"/>
              </w:rPr>
            </w:pPr>
          </w:p>
        </w:tc>
        <w:tc>
          <w:tcPr>
            <w:tcW w:w="68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5027F4D">
            <w:pPr>
              <w:spacing w:line="360" w:lineRule="auto"/>
              <w:jc w:val="center"/>
              <w:rPr>
                <w:sz w:val="24"/>
              </w:rPr>
            </w:pPr>
          </w:p>
        </w:tc>
      </w:tr>
    </w:tbl>
    <w:p w14:paraId="7D359FE8"/>
    <w:p w14:paraId="0D448790">
      <w:pPr>
        <w:keepNext/>
        <w:keepLines/>
        <w:spacing w:before="120" w:after="120" w:line="360" w:lineRule="auto"/>
        <w:jc w:val="center"/>
        <w:outlineLvl w:val="2"/>
        <w:rPr>
          <w:rFonts w:eastAsia="黑体"/>
          <w:bCs/>
          <w:sz w:val="24"/>
          <w:szCs w:val="24"/>
        </w:rPr>
      </w:pPr>
      <w:bookmarkStart w:id="252" w:name="_Toc13177"/>
      <w:bookmarkEnd w:id="252"/>
      <w:bookmarkStart w:id="253" w:name="_Toc22082"/>
      <w:bookmarkEnd w:id="253"/>
      <w:r>
        <w:rPr>
          <w:rFonts w:hint="eastAsia" w:eastAsia="黑体"/>
          <w:bCs/>
          <w:sz w:val="24"/>
          <w:szCs w:val="24"/>
        </w:rPr>
        <w:t>附表三：劳动力计划表</w:t>
      </w:r>
    </w:p>
    <w:p w14:paraId="19115198">
      <w:pPr>
        <w:spacing w:line="360" w:lineRule="auto"/>
        <w:jc w:val="right"/>
      </w:pPr>
      <w:r>
        <w:t>单位：人</w:t>
      </w:r>
    </w:p>
    <w:tbl>
      <w:tblPr>
        <w:tblStyle w:val="17"/>
        <w:tblW w:w="8959" w:type="dxa"/>
        <w:jc w:val="center"/>
        <w:tblLayout w:type="autofit"/>
        <w:tblCellMar>
          <w:top w:w="0" w:type="dxa"/>
          <w:left w:w="10" w:type="dxa"/>
          <w:bottom w:w="0" w:type="dxa"/>
          <w:right w:w="10" w:type="dxa"/>
        </w:tblCellMar>
      </w:tblPr>
      <w:tblGrid>
        <w:gridCol w:w="869"/>
        <w:gridCol w:w="1371"/>
        <w:gridCol w:w="1120"/>
        <w:gridCol w:w="1120"/>
        <w:gridCol w:w="1120"/>
        <w:gridCol w:w="1120"/>
        <w:gridCol w:w="1120"/>
        <w:gridCol w:w="1119"/>
      </w:tblGrid>
      <w:tr w14:paraId="5BEAA64D">
        <w:tblPrEx>
          <w:tblCellMar>
            <w:top w:w="0" w:type="dxa"/>
            <w:left w:w="10" w:type="dxa"/>
            <w:bottom w:w="0" w:type="dxa"/>
            <w:right w:w="10" w:type="dxa"/>
          </w:tblCellMar>
        </w:tblPrEx>
        <w:trPr>
          <w:trHeight w:val="450" w:hRule="exact"/>
          <w:jc w:val="center"/>
        </w:trPr>
        <w:tc>
          <w:tcPr>
            <w:tcW w:w="86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873E320">
            <w:pPr>
              <w:spacing w:line="360" w:lineRule="auto"/>
              <w:jc w:val="center"/>
              <w:rPr>
                <w:b/>
                <w:bCs/>
                <w:sz w:val="24"/>
              </w:rPr>
            </w:pPr>
            <w:r>
              <w:rPr>
                <w:b/>
                <w:bCs/>
              </w:rPr>
              <w:t>工种</w:t>
            </w:r>
          </w:p>
        </w:tc>
        <w:tc>
          <w:tcPr>
            <w:tcW w:w="8090"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0DD113A">
            <w:pPr>
              <w:spacing w:line="360" w:lineRule="auto"/>
              <w:jc w:val="center"/>
              <w:rPr>
                <w:b/>
                <w:bCs/>
                <w:sz w:val="24"/>
              </w:rPr>
            </w:pPr>
            <w:r>
              <w:rPr>
                <w:b/>
                <w:bCs/>
              </w:rPr>
              <w:t>按工程施工阶段投入劳动力情况</w:t>
            </w:r>
          </w:p>
        </w:tc>
      </w:tr>
      <w:tr w14:paraId="38EAC5BA">
        <w:tblPrEx>
          <w:tblCellMar>
            <w:top w:w="0" w:type="dxa"/>
            <w:left w:w="10" w:type="dxa"/>
            <w:bottom w:w="0" w:type="dxa"/>
            <w:right w:w="10" w:type="dxa"/>
          </w:tblCellMar>
        </w:tblPrEx>
        <w:trPr>
          <w:trHeight w:val="450" w:hRule="exact"/>
          <w:jc w:val="center"/>
        </w:trPr>
        <w:tc>
          <w:tcPr>
            <w:tcW w:w="869" w:type="dxa"/>
            <w:vMerge w:val="continue"/>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3FAB5B5"/>
        </w:tc>
        <w:tc>
          <w:tcPr>
            <w:tcW w:w="137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419C382">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6E3B7F">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ED7F35">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35E8B4">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72CE9B4">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10E6D97">
            <w:pPr>
              <w:spacing w:line="360" w:lineRule="auto"/>
              <w:jc w:val="left"/>
              <w:rPr>
                <w:sz w:val="24"/>
              </w:rPr>
            </w:pPr>
          </w:p>
        </w:tc>
        <w:tc>
          <w:tcPr>
            <w:tcW w:w="11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8F1379">
            <w:pPr>
              <w:spacing w:line="360" w:lineRule="auto"/>
              <w:jc w:val="left"/>
              <w:rPr>
                <w:sz w:val="24"/>
              </w:rPr>
            </w:pPr>
          </w:p>
        </w:tc>
      </w:tr>
      <w:tr w14:paraId="640D3123">
        <w:tblPrEx>
          <w:tblCellMar>
            <w:top w:w="0" w:type="dxa"/>
            <w:left w:w="10" w:type="dxa"/>
            <w:bottom w:w="0" w:type="dxa"/>
            <w:right w:w="10" w:type="dxa"/>
          </w:tblCellMar>
        </w:tblPrEx>
        <w:trPr>
          <w:trHeight w:val="450" w:hRule="exact"/>
          <w:jc w:val="center"/>
        </w:trPr>
        <w:tc>
          <w:tcPr>
            <w:tcW w:w="86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1B02FF6">
            <w:pPr>
              <w:spacing w:line="360" w:lineRule="auto"/>
              <w:jc w:val="left"/>
              <w:rPr>
                <w:sz w:val="24"/>
              </w:rPr>
            </w:pPr>
          </w:p>
        </w:tc>
        <w:tc>
          <w:tcPr>
            <w:tcW w:w="137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F2CBD77">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26D7AE9">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D112012">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508543D">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B94922E">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DB8EFBD">
            <w:pPr>
              <w:spacing w:line="360" w:lineRule="auto"/>
              <w:jc w:val="left"/>
              <w:rPr>
                <w:sz w:val="24"/>
              </w:rPr>
            </w:pPr>
          </w:p>
        </w:tc>
        <w:tc>
          <w:tcPr>
            <w:tcW w:w="11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AD1F767">
            <w:pPr>
              <w:spacing w:line="360" w:lineRule="auto"/>
              <w:jc w:val="left"/>
              <w:rPr>
                <w:sz w:val="24"/>
              </w:rPr>
            </w:pPr>
          </w:p>
        </w:tc>
      </w:tr>
      <w:tr w14:paraId="35C2182D">
        <w:tblPrEx>
          <w:tblCellMar>
            <w:top w:w="0" w:type="dxa"/>
            <w:left w:w="10" w:type="dxa"/>
            <w:bottom w:w="0" w:type="dxa"/>
            <w:right w:w="10" w:type="dxa"/>
          </w:tblCellMar>
        </w:tblPrEx>
        <w:trPr>
          <w:trHeight w:val="450" w:hRule="exact"/>
          <w:jc w:val="center"/>
        </w:trPr>
        <w:tc>
          <w:tcPr>
            <w:tcW w:w="86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22FC54">
            <w:pPr>
              <w:spacing w:line="360" w:lineRule="auto"/>
              <w:jc w:val="left"/>
              <w:rPr>
                <w:sz w:val="24"/>
              </w:rPr>
            </w:pPr>
          </w:p>
        </w:tc>
        <w:tc>
          <w:tcPr>
            <w:tcW w:w="137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3722F0">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4445E21">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DDBE516">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7F079AD">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789EEA">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1755245">
            <w:pPr>
              <w:spacing w:line="360" w:lineRule="auto"/>
              <w:jc w:val="left"/>
              <w:rPr>
                <w:sz w:val="24"/>
              </w:rPr>
            </w:pPr>
          </w:p>
        </w:tc>
        <w:tc>
          <w:tcPr>
            <w:tcW w:w="11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CE2040B">
            <w:pPr>
              <w:spacing w:line="360" w:lineRule="auto"/>
              <w:jc w:val="left"/>
              <w:rPr>
                <w:sz w:val="24"/>
              </w:rPr>
            </w:pPr>
          </w:p>
        </w:tc>
      </w:tr>
      <w:tr w14:paraId="7CE236EB">
        <w:tblPrEx>
          <w:tblCellMar>
            <w:top w:w="0" w:type="dxa"/>
            <w:left w:w="10" w:type="dxa"/>
            <w:bottom w:w="0" w:type="dxa"/>
            <w:right w:w="10" w:type="dxa"/>
          </w:tblCellMar>
        </w:tblPrEx>
        <w:trPr>
          <w:trHeight w:val="450" w:hRule="exact"/>
          <w:jc w:val="center"/>
        </w:trPr>
        <w:tc>
          <w:tcPr>
            <w:tcW w:w="86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2264BB0">
            <w:pPr>
              <w:spacing w:line="360" w:lineRule="auto"/>
              <w:jc w:val="left"/>
              <w:rPr>
                <w:sz w:val="24"/>
              </w:rPr>
            </w:pPr>
          </w:p>
        </w:tc>
        <w:tc>
          <w:tcPr>
            <w:tcW w:w="137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329ADE">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A6C2146">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45401E">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8B96F87">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CF86375">
            <w:pPr>
              <w:spacing w:line="360" w:lineRule="auto"/>
              <w:jc w:val="left"/>
              <w:rPr>
                <w:sz w:val="24"/>
              </w:rPr>
            </w:pPr>
          </w:p>
        </w:tc>
        <w:tc>
          <w:tcPr>
            <w:tcW w:w="11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00C8268">
            <w:pPr>
              <w:spacing w:line="360" w:lineRule="auto"/>
              <w:jc w:val="left"/>
              <w:rPr>
                <w:sz w:val="24"/>
              </w:rPr>
            </w:pPr>
          </w:p>
        </w:tc>
        <w:tc>
          <w:tcPr>
            <w:tcW w:w="111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AF38FD8">
            <w:pPr>
              <w:spacing w:line="360" w:lineRule="auto"/>
              <w:jc w:val="left"/>
              <w:rPr>
                <w:sz w:val="24"/>
              </w:rPr>
            </w:pPr>
          </w:p>
        </w:tc>
      </w:tr>
    </w:tbl>
    <w:p w14:paraId="0D61D354">
      <w:r>
        <w:br w:type="page"/>
      </w:r>
    </w:p>
    <w:p w14:paraId="7CF4FE07">
      <w:pPr>
        <w:keepNext/>
        <w:keepLines/>
        <w:spacing w:before="120" w:after="120" w:line="360" w:lineRule="auto"/>
        <w:jc w:val="center"/>
        <w:outlineLvl w:val="2"/>
        <w:rPr>
          <w:sz w:val="28"/>
          <w:szCs w:val="28"/>
        </w:rPr>
      </w:pPr>
      <w:bookmarkStart w:id="254" w:name="_Toc29511"/>
      <w:bookmarkEnd w:id="254"/>
      <w:bookmarkStart w:id="255" w:name="_Toc22324"/>
      <w:bookmarkEnd w:id="255"/>
      <w:r>
        <w:rPr>
          <w:rFonts w:hint="eastAsia" w:eastAsia="黑体"/>
          <w:bCs/>
          <w:sz w:val="24"/>
          <w:szCs w:val="24"/>
        </w:rPr>
        <w:t>附表四：计划开、竣工日期和施工进度网络图</w:t>
      </w:r>
    </w:p>
    <w:p w14:paraId="5DC23B71">
      <w:pPr>
        <w:spacing w:line="360" w:lineRule="auto"/>
        <w:jc w:val="center"/>
        <w:rPr>
          <w:sz w:val="20"/>
        </w:rPr>
      </w:pPr>
    </w:p>
    <w:p w14:paraId="7F6F4346">
      <w:pPr>
        <w:spacing w:line="360" w:lineRule="auto"/>
        <w:jc w:val="left"/>
      </w:pPr>
      <w:r>
        <w:rPr>
          <w:spacing w:val="1"/>
        </w:rPr>
        <w:t>1. 投标人</w:t>
      </w:r>
      <w:r>
        <w:rPr>
          <w:spacing w:val="2"/>
        </w:rPr>
        <w:t>应</w:t>
      </w:r>
      <w:r>
        <w:rPr>
          <w:spacing w:val="1"/>
        </w:rPr>
        <w:t>递交</w:t>
      </w:r>
      <w:r>
        <w:rPr>
          <w:spacing w:val="2"/>
        </w:rPr>
        <w:t>施</w:t>
      </w:r>
      <w:r>
        <w:rPr>
          <w:spacing w:val="1"/>
        </w:rPr>
        <w:t>工</w:t>
      </w:r>
      <w:r>
        <w:rPr>
          <w:spacing w:val="2"/>
        </w:rPr>
        <w:t>进</w:t>
      </w:r>
      <w:r>
        <w:rPr>
          <w:spacing w:val="1"/>
        </w:rPr>
        <w:t>度网</w:t>
      </w:r>
      <w:r>
        <w:rPr>
          <w:spacing w:val="2"/>
        </w:rPr>
        <w:t>络</w:t>
      </w:r>
      <w:r>
        <w:rPr>
          <w:spacing w:val="1"/>
        </w:rPr>
        <w:t>图</w:t>
      </w:r>
      <w:r>
        <w:rPr>
          <w:spacing w:val="2"/>
        </w:rPr>
        <w:t>或</w:t>
      </w:r>
      <w:r>
        <w:rPr>
          <w:spacing w:val="1"/>
        </w:rPr>
        <w:t>施工</w:t>
      </w:r>
      <w:r>
        <w:rPr>
          <w:spacing w:val="2"/>
        </w:rPr>
        <w:t>进</w:t>
      </w:r>
      <w:r>
        <w:rPr>
          <w:spacing w:val="1"/>
        </w:rPr>
        <w:t>度</w:t>
      </w:r>
      <w:r>
        <w:rPr>
          <w:spacing w:val="2"/>
        </w:rPr>
        <w:t>表</w:t>
      </w:r>
      <w:r>
        <w:rPr>
          <w:spacing w:val="1"/>
        </w:rPr>
        <w:t>，说</w:t>
      </w:r>
      <w:r>
        <w:rPr>
          <w:spacing w:val="2"/>
        </w:rPr>
        <w:t>明</w:t>
      </w:r>
      <w:r>
        <w:rPr>
          <w:spacing w:val="1"/>
        </w:rPr>
        <w:t>按</w:t>
      </w:r>
      <w:r>
        <w:rPr>
          <w:spacing w:val="2"/>
        </w:rPr>
        <w:t>招</w:t>
      </w:r>
      <w:r>
        <w:rPr>
          <w:spacing w:val="1"/>
        </w:rPr>
        <w:t>标文</w:t>
      </w:r>
      <w:r>
        <w:rPr>
          <w:spacing w:val="2"/>
        </w:rPr>
        <w:t>件</w:t>
      </w:r>
      <w:r>
        <w:rPr>
          <w:spacing w:val="1"/>
        </w:rPr>
        <w:t>要</w:t>
      </w:r>
      <w:r>
        <w:rPr>
          <w:spacing w:val="2"/>
        </w:rPr>
        <w:t>求</w:t>
      </w:r>
      <w:r>
        <w:rPr>
          <w:spacing w:val="1"/>
        </w:rPr>
        <w:t>的计</w:t>
      </w:r>
      <w:r>
        <w:rPr>
          <w:spacing w:val="2"/>
        </w:rPr>
        <w:t>划</w:t>
      </w:r>
      <w:r>
        <w:rPr>
          <w:spacing w:val="1"/>
        </w:rPr>
        <w:t>工</w:t>
      </w:r>
      <w:r>
        <w:rPr>
          <w:spacing w:val="4"/>
        </w:rPr>
        <w:t>期</w:t>
      </w:r>
      <w:r>
        <w:rPr>
          <w:spacing w:val="2"/>
        </w:rPr>
        <w:t>进</w:t>
      </w:r>
      <w:r>
        <w:rPr>
          <w:spacing w:val="1"/>
        </w:rPr>
        <w:t>行</w:t>
      </w:r>
      <w:r>
        <w:t>施工的各个关键日期。</w:t>
      </w:r>
    </w:p>
    <w:p w14:paraId="6A74E3D7">
      <w:pPr>
        <w:spacing w:line="360" w:lineRule="auto"/>
        <w:jc w:val="left"/>
      </w:pPr>
      <w:r>
        <w:t>2. 施工进</w:t>
      </w:r>
      <w:r>
        <w:rPr>
          <w:spacing w:val="-1"/>
        </w:rPr>
        <w:t>度</w:t>
      </w:r>
      <w:r>
        <w:t>表可采用网络图（或横道图）表示。</w:t>
      </w:r>
    </w:p>
    <w:p w14:paraId="2155A26C">
      <w:pPr>
        <w:spacing w:line="360" w:lineRule="auto"/>
        <w:jc w:val="left"/>
        <w:rPr>
          <w:sz w:val="24"/>
        </w:rPr>
      </w:pPr>
    </w:p>
    <w:p w14:paraId="6D44D19D">
      <w:pPr>
        <w:spacing w:line="360" w:lineRule="auto"/>
        <w:jc w:val="left"/>
        <w:rPr>
          <w:sz w:val="24"/>
        </w:rPr>
      </w:pPr>
    </w:p>
    <w:p w14:paraId="042A5FB6">
      <w:pPr>
        <w:keepNext/>
        <w:keepLines/>
        <w:spacing w:before="120" w:after="120" w:line="360" w:lineRule="auto"/>
        <w:jc w:val="center"/>
        <w:outlineLvl w:val="2"/>
        <w:rPr>
          <w:rFonts w:eastAsia="黑体"/>
          <w:bCs/>
          <w:sz w:val="24"/>
          <w:szCs w:val="24"/>
        </w:rPr>
      </w:pPr>
      <w:bookmarkStart w:id="256" w:name="_Toc11512"/>
      <w:bookmarkEnd w:id="256"/>
      <w:bookmarkStart w:id="257" w:name="_Toc14738"/>
      <w:bookmarkEnd w:id="257"/>
      <w:r>
        <w:rPr>
          <w:rFonts w:hint="eastAsia" w:eastAsia="黑体"/>
          <w:bCs/>
          <w:sz w:val="24"/>
          <w:szCs w:val="24"/>
        </w:rPr>
        <w:t>附表五：施工总平面图</w:t>
      </w:r>
    </w:p>
    <w:p w14:paraId="68A67D57">
      <w:pPr>
        <w:spacing w:line="360" w:lineRule="auto"/>
        <w:jc w:val="left"/>
      </w:pPr>
    </w:p>
    <w:p w14:paraId="56236399">
      <w:pPr>
        <w:spacing w:line="360" w:lineRule="auto"/>
        <w:ind w:firstLine="424"/>
        <w:jc w:val="left"/>
      </w:pPr>
      <w:r>
        <w:t>投标人应递交一份施工总平面图</w:t>
      </w:r>
      <w:r>
        <w:rPr>
          <w:spacing w:val="-42"/>
        </w:rPr>
        <w:t>，</w:t>
      </w:r>
      <w:r>
        <w:t>绘出现场临时设施布置图表并附文字说明</w:t>
      </w:r>
      <w:r>
        <w:rPr>
          <w:spacing w:val="-42"/>
        </w:rPr>
        <w:t>，</w:t>
      </w:r>
      <w:r>
        <w:t>说明临时 设施</w:t>
      </w:r>
      <w:r>
        <w:rPr>
          <w:spacing w:val="-11"/>
        </w:rPr>
        <w:t>、</w:t>
      </w:r>
      <w:r>
        <w:t>加工车间</w:t>
      </w:r>
      <w:r>
        <w:rPr>
          <w:spacing w:val="-11"/>
        </w:rPr>
        <w:t>、</w:t>
      </w:r>
      <w:r>
        <w:t>现场办公</w:t>
      </w:r>
      <w:r>
        <w:rPr>
          <w:spacing w:val="-11"/>
        </w:rPr>
        <w:t>、</w:t>
      </w:r>
      <w:r>
        <w:t>设备及仓储</w:t>
      </w:r>
      <w:r>
        <w:rPr>
          <w:spacing w:val="-11"/>
        </w:rPr>
        <w:t>、</w:t>
      </w:r>
      <w:r>
        <w:t>供电</w:t>
      </w:r>
      <w:r>
        <w:rPr>
          <w:spacing w:val="-11"/>
        </w:rPr>
        <w:t>、</w:t>
      </w:r>
      <w:r>
        <w:t>供水</w:t>
      </w:r>
      <w:r>
        <w:rPr>
          <w:spacing w:val="-10"/>
        </w:rPr>
        <w:t>、</w:t>
      </w:r>
      <w:r>
        <w:t>卫生</w:t>
      </w:r>
      <w:r>
        <w:rPr>
          <w:spacing w:val="-11"/>
        </w:rPr>
        <w:t>、</w:t>
      </w:r>
      <w:r>
        <w:t>生活</w:t>
      </w:r>
      <w:r>
        <w:rPr>
          <w:spacing w:val="-11"/>
        </w:rPr>
        <w:t>、</w:t>
      </w:r>
      <w:r>
        <w:t>道路</w:t>
      </w:r>
      <w:r>
        <w:rPr>
          <w:spacing w:val="-11"/>
        </w:rPr>
        <w:t>、</w:t>
      </w:r>
      <w:r>
        <w:rPr>
          <w:spacing w:val="1"/>
        </w:rPr>
        <w:t>消</w:t>
      </w:r>
      <w:r>
        <w:t>防等设施的 情况和布置。</w:t>
      </w:r>
    </w:p>
    <w:p w14:paraId="26B0BB20">
      <w:pPr>
        <w:spacing w:line="360" w:lineRule="auto"/>
        <w:jc w:val="left"/>
      </w:pPr>
    </w:p>
    <w:p w14:paraId="65078C98">
      <w:pPr>
        <w:keepNext/>
        <w:keepLines/>
        <w:spacing w:before="120" w:after="120" w:line="360" w:lineRule="auto"/>
        <w:jc w:val="center"/>
        <w:outlineLvl w:val="2"/>
        <w:rPr>
          <w:rFonts w:eastAsia="黑体"/>
          <w:bCs/>
          <w:sz w:val="24"/>
          <w:szCs w:val="24"/>
        </w:rPr>
      </w:pPr>
      <w:bookmarkStart w:id="258" w:name="_Toc21708"/>
      <w:bookmarkEnd w:id="258"/>
      <w:bookmarkStart w:id="259" w:name="_Toc15176"/>
      <w:bookmarkEnd w:id="259"/>
      <w:r>
        <w:rPr>
          <w:rFonts w:hint="eastAsia" w:eastAsia="黑体"/>
          <w:bCs/>
          <w:sz w:val="24"/>
          <w:szCs w:val="24"/>
        </w:rPr>
        <w:t>附表六：临时用地表</w:t>
      </w:r>
    </w:p>
    <w:tbl>
      <w:tblPr>
        <w:tblStyle w:val="17"/>
        <w:tblW w:w="8523" w:type="dxa"/>
        <w:jc w:val="center"/>
        <w:tblLayout w:type="autofit"/>
        <w:tblCellMar>
          <w:top w:w="0" w:type="dxa"/>
          <w:left w:w="10" w:type="dxa"/>
          <w:bottom w:w="0" w:type="dxa"/>
          <w:right w:w="10" w:type="dxa"/>
        </w:tblCellMar>
      </w:tblPr>
      <w:tblGrid>
        <w:gridCol w:w="2130"/>
        <w:gridCol w:w="2130"/>
        <w:gridCol w:w="2131"/>
        <w:gridCol w:w="2132"/>
      </w:tblGrid>
      <w:tr w14:paraId="645859FF">
        <w:tblPrEx>
          <w:tblCellMar>
            <w:top w:w="0" w:type="dxa"/>
            <w:left w:w="10" w:type="dxa"/>
            <w:bottom w:w="0" w:type="dxa"/>
            <w:right w:w="1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DA9987B">
            <w:pPr>
              <w:spacing w:line="360" w:lineRule="auto"/>
              <w:jc w:val="center"/>
              <w:rPr>
                <w:b/>
                <w:bCs/>
                <w:sz w:val="24"/>
              </w:rPr>
            </w:pPr>
            <w:r>
              <w:rPr>
                <w:b/>
                <w:bCs/>
              </w:rPr>
              <w:t xml:space="preserve">用 </w:t>
            </w:r>
            <w:r>
              <w:rPr>
                <w:b/>
                <w:bCs/>
                <w:spacing w:val="1"/>
              </w:rPr>
              <w:t xml:space="preserve"> </w:t>
            </w:r>
            <w:r>
              <w:rPr>
                <w:b/>
                <w:bCs/>
              </w:rPr>
              <w:t>途</w:t>
            </w:r>
          </w:p>
        </w:tc>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E4B8ACA">
            <w:pPr>
              <w:spacing w:line="360" w:lineRule="auto"/>
              <w:jc w:val="center"/>
              <w:rPr>
                <w:b/>
                <w:bCs/>
                <w:sz w:val="24"/>
              </w:rPr>
            </w:pPr>
            <w:r>
              <w:rPr>
                <w:b/>
                <w:bCs/>
              </w:rPr>
              <w:t xml:space="preserve">面 </w:t>
            </w:r>
            <w:r>
              <w:rPr>
                <w:b/>
                <w:bCs/>
                <w:spacing w:val="1"/>
              </w:rPr>
              <w:t xml:space="preserve"> </w:t>
            </w:r>
            <w:r>
              <w:rPr>
                <w:b/>
                <w:bCs/>
              </w:rPr>
              <w:t>积（平</w:t>
            </w:r>
            <w:r>
              <w:rPr>
                <w:b/>
                <w:bCs/>
                <w:spacing w:val="-1"/>
              </w:rPr>
              <w:t>方</w:t>
            </w:r>
            <w:r>
              <w:rPr>
                <w:b/>
                <w:bCs/>
              </w:rPr>
              <w:t>米）</w:t>
            </w:r>
          </w:p>
        </w:tc>
        <w:tc>
          <w:tcPr>
            <w:tcW w:w="213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31834A2">
            <w:pPr>
              <w:spacing w:line="360" w:lineRule="auto"/>
              <w:jc w:val="center"/>
              <w:rPr>
                <w:b/>
                <w:bCs/>
                <w:sz w:val="24"/>
              </w:rPr>
            </w:pPr>
            <w:r>
              <w:rPr>
                <w:b/>
                <w:bCs/>
              </w:rPr>
              <w:t xml:space="preserve">位 </w:t>
            </w:r>
            <w:r>
              <w:rPr>
                <w:b/>
                <w:bCs/>
                <w:spacing w:val="1"/>
              </w:rPr>
              <w:t xml:space="preserve"> </w:t>
            </w:r>
            <w:r>
              <w:rPr>
                <w:b/>
                <w:bCs/>
              </w:rPr>
              <w:t>置</w:t>
            </w:r>
          </w:p>
        </w:tc>
        <w:tc>
          <w:tcPr>
            <w:tcW w:w="213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2A80F1B">
            <w:pPr>
              <w:spacing w:line="360" w:lineRule="auto"/>
              <w:jc w:val="center"/>
              <w:rPr>
                <w:b/>
                <w:bCs/>
                <w:sz w:val="24"/>
              </w:rPr>
            </w:pPr>
            <w:r>
              <w:rPr>
                <w:b/>
                <w:bCs/>
              </w:rPr>
              <w:t>需用时间</w:t>
            </w:r>
          </w:p>
        </w:tc>
      </w:tr>
      <w:tr w14:paraId="224A62BE">
        <w:tblPrEx>
          <w:tblCellMar>
            <w:top w:w="0" w:type="dxa"/>
            <w:left w:w="10" w:type="dxa"/>
            <w:bottom w:w="0" w:type="dxa"/>
            <w:right w:w="1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C8167A6">
            <w:pPr>
              <w:spacing w:line="360" w:lineRule="auto"/>
              <w:jc w:val="left"/>
              <w:rPr>
                <w:sz w:val="24"/>
              </w:rPr>
            </w:pPr>
          </w:p>
        </w:tc>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72273D">
            <w:pPr>
              <w:spacing w:line="360" w:lineRule="auto"/>
              <w:jc w:val="left"/>
              <w:rPr>
                <w:sz w:val="24"/>
              </w:rPr>
            </w:pPr>
          </w:p>
        </w:tc>
        <w:tc>
          <w:tcPr>
            <w:tcW w:w="213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5584A7D">
            <w:pPr>
              <w:spacing w:line="360" w:lineRule="auto"/>
              <w:jc w:val="left"/>
              <w:rPr>
                <w:sz w:val="24"/>
              </w:rPr>
            </w:pPr>
          </w:p>
        </w:tc>
        <w:tc>
          <w:tcPr>
            <w:tcW w:w="213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72E9D04">
            <w:pPr>
              <w:spacing w:line="360" w:lineRule="auto"/>
              <w:jc w:val="left"/>
              <w:rPr>
                <w:sz w:val="24"/>
              </w:rPr>
            </w:pPr>
          </w:p>
        </w:tc>
      </w:tr>
      <w:tr w14:paraId="655AFB57">
        <w:tblPrEx>
          <w:tblCellMar>
            <w:top w:w="0" w:type="dxa"/>
            <w:left w:w="10" w:type="dxa"/>
            <w:bottom w:w="0" w:type="dxa"/>
            <w:right w:w="1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ABAE705">
            <w:pPr>
              <w:spacing w:line="360" w:lineRule="auto"/>
              <w:jc w:val="left"/>
              <w:rPr>
                <w:sz w:val="24"/>
              </w:rPr>
            </w:pPr>
          </w:p>
        </w:tc>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3D760C">
            <w:pPr>
              <w:spacing w:line="360" w:lineRule="auto"/>
              <w:jc w:val="left"/>
              <w:rPr>
                <w:sz w:val="24"/>
              </w:rPr>
            </w:pPr>
          </w:p>
        </w:tc>
        <w:tc>
          <w:tcPr>
            <w:tcW w:w="213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3E66BEC">
            <w:pPr>
              <w:spacing w:line="360" w:lineRule="auto"/>
              <w:jc w:val="left"/>
              <w:rPr>
                <w:sz w:val="24"/>
              </w:rPr>
            </w:pPr>
          </w:p>
        </w:tc>
        <w:tc>
          <w:tcPr>
            <w:tcW w:w="213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9C71419">
            <w:pPr>
              <w:spacing w:line="360" w:lineRule="auto"/>
              <w:jc w:val="left"/>
              <w:rPr>
                <w:sz w:val="24"/>
              </w:rPr>
            </w:pPr>
          </w:p>
        </w:tc>
      </w:tr>
      <w:tr w14:paraId="59EEBEDF">
        <w:tblPrEx>
          <w:tblCellMar>
            <w:top w:w="0" w:type="dxa"/>
            <w:left w:w="10" w:type="dxa"/>
            <w:bottom w:w="0" w:type="dxa"/>
            <w:right w:w="1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E6926F9">
            <w:pPr>
              <w:spacing w:line="360" w:lineRule="auto"/>
              <w:jc w:val="left"/>
              <w:rPr>
                <w:sz w:val="24"/>
              </w:rPr>
            </w:pPr>
          </w:p>
        </w:tc>
        <w:tc>
          <w:tcPr>
            <w:tcW w:w="21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090DA6">
            <w:pPr>
              <w:spacing w:line="360" w:lineRule="auto"/>
              <w:jc w:val="left"/>
              <w:rPr>
                <w:sz w:val="24"/>
              </w:rPr>
            </w:pPr>
          </w:p>
        </w:tc>
        <w:tc>
          <w:tcPr>
            <w:tcW w:w="213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D5D886D">
            <w:pPr>
              <w:spacing w:line="360" w:lineRule="auto"/>
              <w:jc w:val="left"/>
              <w:rPr>
                <w:sz w:val="24"/>
              </w:rPr>
            </w:pPr>
          </w:p>
        </w:tc>
        <w:tc>
          <w:tcPr>
            <w:tcW w:w="213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8477F63">
            <w:pPr>
              <w:spacing w:line="360" w:lineRule="auto"/>
              <w:jc w:val="left"/>
              <w:rPr>
                <w:sz w:val="24"/>
              </w:rPr>
            </w:pPr>
          </w:p>
        </w:tc>
      </w:tr>
    </w:tbl>
    <w:p w14:paraId="371D5CE9">
      <w:r>
        <w:br w:type="page"/>
      </w:r>
    </w:p>
    <w:p w14:paraId="7C821FB2">
      <w:pPr>
        <w:keepNext/>
        <w:keepLines/>
        <w:spacing w:before="120" w:after="120" w:line="360" w:lineRule="auto"/>
        <w:jc w:val="center"/>
        <w:outlineLvl w:val="2"/>
        <w:rPr>
          <w:rFonts w:eastAsia="黑体"/>
          <w:bCs/>
          <w:sz w:val="28"/>
          <w:szCs w:val="28"/>
        </w:rPr>
      </w:pPr>
      <w:bookmarkStart w:id="260" w:name="_Toc10784"/>
      <w:bookmarkEnd w:id="260"/>
      <w:bookmarkStart w:id="261" w:name="_Toc9806"/>
      <w:bookmarkEnd w:id="261"/>
      <w:r>
        <w:rPr>
          <w:rFonts w:hint="eastAsia" w:eastAsia="黑体"/>
          <w:bCs/>
          <w:sz w:val="24"/>
          <w:szCs w:val="24"/>
        </w:rPr>
        <w:t>六、新材料、新工艺、新技术应用（如有）</w:t>
      </w:r>
    </w:p>
    <w:p w14:paraId="2706F3B1">
      <w:pPr>
        <w:tabs>
          <w:tab w:val="left" w:pos="2580"/>
          <w:tab w:val="left" w:pos="5940"/>
        </w:tabs>
        <w:spacing w:line="400" w:lineRule="exact"/>
        <w:rPr>
          <w:rFonts w:eastAsia="黑体"/>
          <w:b/>
          <w:bCs/>
          <w:sz w:val="32"/>
          <w:szCs w:val="32"/>
        </w:rPr>
      </w:pPr>
    </w:p>
    <w:p w14:paraId="50BF82E0">
      <w:pPr>
        <w:tabs>
          <w:tab w:val="left" w:pos="2580"/>
          <w:tab w:val="left" w:pos="5940"/>
        </w:tabs>
        <w:spacing w:line="400" w:lineRule="exact"/>
        <w:ind w:firstLine="396"/>
        <w:rPr>
          <w:spacing w:val="-6"/>
          <w:szCs w:val="21"/>
        </w:rPr>
      </w:pPr>
      <w:r>
        <w:rPr>
          <w:spacing w:val="-6"/>
          <w:szCs w:val="21"/>
        </w:rPr>
        <w:t>格式自拟（如有）。</w:t>
      </w:r>
    </w:p>
    <w:p w14:paraId="5E0CA058">
      <w:pPr>
        <w:tabs>
          <w:tab w:val="left" w:pos="2580"/>
          <w:tab w:val="left" w:pos="5940"/>
        </w:tabs>
        <w:spacing w:line="400" w:lineRule="exact"/>
        <w:ind w:firstLine="396"/>
        <w:jc w:val="left"/>
        <w:rPr>
          <w:spacing w:val="-6"/>
          <w:szCs w:val="21"/>
        </w:rPr>
      </w:pPr>
      <w:r>
        <w:rPr>
          <w:spacing w:val="-6"/>
          <w:szCs w:val="21"/>
        </w:rPr>
        <w:t>如投标人未提供本表或未在本表填写，视同投标人本项目无上述情况。</w:t>
      </w:r>
      <w:bookmarkStart w:id="262" w:name="_Toc27756"/>
      <w:bookmarkEnd w:id="262"/>
    </w:p>
    <w:p w14:paraId="2570290F">
      <w:pPr>
        <w:tabs>
          <w:tab w:val="left" w:pos="2580"/>
          <w:tab w:val="left" w:pos="5940"/>
        </w:tabs>
        <w:spacing w:line="400" w:lineRule="exact"/>
        <w:ind w:firstLine="396"/>
        <w:jc w:val="center"/>
        <w:rPr>
          <w:spacing w:val="-6"/>
          <w:szCs w:val="21"/>
        </w:rPr>
      </w:pPr>
    </w:p>
    <w:p w14:paraId="5AE3FD2A">
      <w:pPr>
        <w:tabs>
          <w:tab w:val="left" w:pos="2580"/>
          <w:tab w:val="left" w:pos="5940"/>
        </w:tabs>
        <w:spacing w:line="400" w:lineRule="exact"/>
        <w:ind w:firstLine="396"/>
        <w:jc w:val="center"/>
        <w:rPr>
          <w:spacing w:val="-6"/>
          <w:szCs w:val="21"/>
        </w:rPr>
      </w:pPr>
    </w:p>
    <w:p w14:paraId="7774107E">
      <w:pPr>
        <w:tabs>
          <w:tab w:val="left" w:pos="2580"/>
          <w:tab w:val="left" w:pos="5940"/>
        </w:tabs>
        <w:spacing w:line="400" w:lineRule="exact"/>
        <w:ind w:firstLine="480"/>
        <w:jc w:val="center"/>
        <w:rPr>
          <w:rFonts w:eastAsia="黑体"/>
          <w:bCs/>
          <w:sz w:val="24"/>
          <w:szCs w:val="24"/>
        </w:rPr>
      </w:pPr>
      <w:r>
        <w:rPr>
          <w:rFonts w:hint="eastAsia" w:eastAsia="黑体"/>
          <w:bCs/>
          <w:sz w:val="24"/>
          <w:szCs w:val="24"/>
        </w:rPr>
        <w:t>七、其他资料</w:t>
      </w:r>
    </w:p>
    <w:p w14:paraId="3AA9A29E">
      <w:pPr>
        <w:spacing w:line="360" w:lineRule="auto"/>
        <w:jc w:val="left"/>
        <w:rPr>
          <w:sz w:val="20"/>
        </w:rPr>
      </w:pPr>
    </w:p>
    <w:p w14:paraId="18D05028">
      <w:pPr>
        <w:tabs>
          <w:tab w:val="left" w:pos="5760"/>
        </w:tabs>
        <w:spacing w:line="300" w:lineRule="exact"/>
        <w:ind w:right="11" w:firstLine="420"/>
      </w:pPr>
      <w:r>
        <w:t>投标人对照评标办法要求，自行提供其他相关资料（如有）</w:t>
      </w:r>
    </w:p>
    <w:p w14:paraId="0A9FD052">
      <w:pPr>
        <w:tabs>
          <w:tab w:val="left" w:pos="5760"/>
        </w:tabs>
        <w:spacing w:line="300" w:lineRule="exact"/>
        <w:ind w:right="11"/>
      </w:pPr>
    </w:p>
    <w:p w14:paraId="30079FB3">
      <w:pPr>
        <w:tabs>
          <w:tab w:val="left" w:pos="5760"/>
        </w:tabs>
        <w:spacing w:line="300" w:lineRule="exact"/>
        <w:ind w:right="11"/>
      </w:pPr>
    </w:p>
    <w:p w14:paraId="2F865B90">
      <w:pPr>
        <w:tabs>
          <w:tab w:val="left" w:pos="5760"/>
        </w:tabs>
        <w:spacing w:line="300" w:lineRule="exact"/>
        <w:ind w:right="11"/>
      </w:pPr>
    </w:p>
    <w:p w14:paraId="50736C5E">
      <w:pPr>
        <w:tabs>
          <w:tab w:val="left" w:pos="5760"/>
        </w:tabs>
        <w:spacing w:line="300" w:lineRule="exact"/>
        <w:ind w:right="11"/>
      </w:pPr>
    </w:p>
    <w:p w14:paraId="77112FCE">
      <w:pPr>
        <w:tabs>
          <w:tab w:val="left" w:pos="5760"/>
        </w:tabs>
        <w:spacing w:line="300" w:lineRule="exact"/>
        <w:ind w:right="11" w:firstLine="420"/>
      </w:pPr>
    </w:p>
    <w:p w14:paraId="6963F3FC">
      <w:pPr>
        <w:tabs>
          <w:tab w:val="left" w:pos="5760"/>
        </w:tabs>
        <w:spacing w:line="300" w:lineRule="exact"/>
        <w:ind w:right="11"/>
      </w:pPr>
    </w:p>
    <w:p w14:paraId="3A93F805">
      <w:pPr>
        <w:tabs>
          <w:tab w:val="left" w:pos="5760"/>
        </w:tabs>
        <w:spacing w:line="300" w:lineRule="exact"/>
        <w:ind w:right="11"/>
      </w:pPr>
    </w:p>
    <w:p w14:paraId="599E99C1">
      <w:pPr>
        <w:tabs>
          <w:tab w:val="left" w:pos="5760"/>
        </w:tabs>
        <w:spacing w:line="300" w:lineRule="exact"/>
        <w:ind w:right="11"/>
      </w:pPr>
    </w:p>
    <w:p w14:paraId="347D54F6">
      <w:pPr>
        <w:tabs>
          <w:tab w:val="left" w:pos="5760"/>
        </w:tabs>
        <w:spacing w:line="300" w:lineRule="exact"/>
        <w:ind w:right="11"/>
        <w:rPr>
          <w:b/>
          <w:sz w:val="28"/>
        </w:rPr>
      </w:pPr>
    </w:p>
    <w:p w14:paraId="47311EA9">
      <w:pPr>
        <w:tabs>
          <w:tab w:val="left" w:pos="5760"/>
        </w:tabs>
        <w:spacing w:line="300" w:lineRule="exact"/>
        <w:ind w:right="11"/>
        <w:rPr>
          <w:b/>
          <w:sz w:val="28"/>
        </w:rPr>
      </w:pPr>
    </w:p>
    <w:p w14:paraId="42720333">
      <w:pPr>
        <w:spacing w:line="510" w:lineRule="exact"/>
        <w:jc w:val="left"/>
      </w:pPr>
      <w:r>
        <w:t>注：对照评标办法要求，由投标人自行提供相关证明。如证明或声明与实际不符，将被取消投标或中标资格。</w:t>
      </w:r>
      <w:r>
        <w:br w:type="page"/>
      </w:r>
    </w:p>
    <w:p w14:paraId="2AF19225">
      <w:pPr>
        <w:tabs>
          <w:tab w:val="left" w:pos="2580"/>
          <w:tab w:val="left" w:pos="5940"/>
        </w:tabs>
        <w:autoSpaceDE w:val="0"/>
        <w:autoSpaceDN w:val="0"/>
        <w:adjustRightInd w:val="0"/>
        <w:snapToGrid w:val="0"/>
        <w:spacing w:line="360" w:lineRule="auto"/>
        <w:jc w:val="left"/>
        <w:rPr>
          <w:kern w:val="0"/>
          <w:sz w:val="28"/>
          <w:szCs w:val="24"/>
          <w:u w:val="single"/>
        </w:rPr>
      </w:pPr>
    </w:p>
    <w:p w14:paraId="10806E62">
      <w:pPr>
        <w:tabs>
          <w:tab w:val="left" w:pos="3395"/>
          <w:tab w:val="left" w:pos="5940"/>
        </w:tabs>
        <w:autoSpaceDE w:val="0"/>
        <w:autoSpaceDN w:val="0"/>
        <w:adjustRightInd w:val="0"/>
        <w:snapToGrid w:val="0"/>
        <w:spacing w:line="360" w:lineRule="auto"/>
        <w:ind w:firstLine="1273" w:firstLineChars="398"/>
        <w:jc w:val="left"/>
        <w:rPr>
          <w:rFonts w:eastAsia="黑体"/>
          <w:b/>
          <w:bCs/>
          <w:kern w:val="0"/>
          <w:sz w:val="28"/>
        </w:rPr>
      </w:pPr>
      <w:r>
        <w:rPr>
          <w:rFonts w:hint="eastAsia" w:eastAsia="黑体"/>
          <w:sz w:val="32"/>
          <w:szCs w:val="32"/>
          <w:u w:val="single"/>
        </w:rPr>
        <w:t xml:space="preserve">             </w:t>
      </w:r>
      <w:r>
        <w:rPr>
          <w:rFonts w:hint="eastAsia" w:eastAsia="黑体"/>
          <w:sz w:val="28"/>
          <w:szCs w:val="28"/>
        </w:rPr>
        <w:t>（项目名称）</w:t>
      </w:r>
      <w:r>
        <w:rPr>
          <w:rFonts w:hint="eastAsia" w:eastAsia="黑体"/>
          <w:sz w:val="28"/>
          <w:szCs w:val="28"/>
          <w:u w:val="single"/>
        </w:rPr>
        <w:t xml:space="preserve">      </w:t>
      </w:r>
      <w:r>
        <w:rPr>
          <w:rFonts w:hint="eastAsia" w:eastAsia="黑体"/>
          <w:sz w:val="28"/>
          <w:szCs w:val="28"/>
        </w:rPr>
        <w:t>标段施工招标</w:t>
      </w:r>
    </w:p>
    <w:p w14:paraId="2A177062">
      <w:pPr>
        <w:tabs>
          <w:tab w:val="left" w:pos="3600"/>
          <w:tab w:val="left" w:pos="4480"/>
          <w:tab w:val="left" w:pos="5360"/>
        </w:tabs>
        <w:autoSpaceDE w:val="0"/>
        <w:autoSpaceDN w:val="0"/>
        <w:adjustRightInd w:val="0"/>
        <w:snapToGrid w:val="0"/>
        <w:spacing w:line="360" w:lineRule="auto"/>
        <w:jc w:val="left"/>
        <w:rPr>
          <w:kern w:val="0"/>
          <w:sz w:val="44"/>
        </w:rPr>
      </w:pPr>
    </w:p>
    <w:p w14:paraId="603F1DB7">
      <w:pPr>
        <w:tabs>
          <w:tab w:val="left" w:pos="3600"/>
          <w:tab w:val="left" w:pos="4480"/>
          <w:tab w:val="left" w:pos="5360"/>
        </w:tabs>
        <w:autoSpaceDE w:val="0"/>
        <w:autoSpaceDN w:val="0"/>
        <w:adjustRightInd w:val="0"/>
        <w:snapToGrid w:val="0"/>
        <w:spacing w:line="360" w:lineRule="auto"/>
        <w:jc w:val="left"/>
        <w:rPr>
          <w:kern w:val="0"/>
          <w:sz w:val="44"/>
        </w:rPr>
      </w:pPr>
    </w:p>
    <w:p w14:paraId="7063E592">
      <w:pPr>
        <w:keepNext/>
        <w:keepLines/>
        <w:spacing w:before="260" w:after="260" w:line="416" w:lineRule="auto"/>
        <w:jc w:val="center"/>
        <w:outlineLvl w:val="1"/>
        <w:rPr>
          <w:rFonts w:eastAsia="黑体"/>
          <w:bCs/>
          <w:color w:val="FF0000"/>
          <w:sz w:val="32"/>
          <w:szCs w:val="32"/>
        </w:rPr>
      </w:pPr>
      <w:bookmarkStart w:id="263" w:name="_Toc36119761"/>
      <w:bookmarkStart w:id="264" w:name="_Toc9340"/>
      <w:bookmarkStart w:id="265" w:name="_Toc19540939"/>
      <w:r>
        <w:rPr>
          <w:rFonts w:hint="eastAsia" w:eastAsia="黑体"/>
          <w:bCs/>
          <w:sz w:val="44"/>
          <w:szCs w:val="44"/>
        </w:rPr>
        <w:t>投标文件</w:t>
      </w:r>
      <w:r>
        <w:rPr>
          <w:rFonts w:eastAsia="黑体"/>
          <w:sz w:val="44"/>
          <w:szCs w:val="44"/>
        </w:rPr>
        <w:br w:type="textWrapping"/>
      </w:r>
      <w:r>
        <w:rPr>
          <w:rFonts w:hint="eastAsia" w:eastAsia="黑体"/>
          <w:bCs/>
          <w:sz w:val="32"/>
          <w:szCs w:val="32"/>
        </w:rPr>
        <w:t>（商务文件）</w:t>
      </w:r>
      <w:bookmarkEnd w:id="263"/>
      <w:bookmarkEnd w:id="264"/>
      <w:bookmarkEnd w:id="265"/>
    </w:p>
    <w:p w14:paraId="436B080D">
      <w:pPr>
        <w:autoSpaceDE w:val="0"/>
        <w:autoSpaceDN w:val="0"/>
        <w:adjustRightInd w:val="0"/>
        <w:snapToGrid w:val="0"/>
        <w:spacing w:line="360" w:lineRule="auto"/>
        <w:jc w:val="left"/>
        <w:rPr>
          <w:b/>
          <w:bCs/>
          <w:kern w:val="0"/>
          <w:sz w:val="20"/>
        </w:rPr>
      </w:pPr>
    </w:p>
    <w:p w14:paraId="7C20B7DB">
      <w:pPr>
        <w:autoSpaceDE w:val="0"/>
        <w:autoSpaceDN w:val="0"/>
        <w:adjustRightInd w:val="0"/>
        <w:snapToGrid w:val="0"/>
        <w:spacing w:line="360" w:lineRule="auto"/>
        <w:jc w:val="left"/>
        <w:rPr>
          <w:b/>
          <w:bCs/>
          <w:kern w:val="0"/>
          <w:sz w:val="20"/>
        </w:rPr>
      </w:pPr>
    </w:p>
    <w:p w14:paraId="0E3A444C">
      <w:pPr>
        <w:autoSpaceDE w:val="0"/>
        <w:autoSpaceDN w:val="0"/>
        <w:adjustRightInd w:val="0"/>
        <w:snapToGrid w:val="0"/>
        <w:spacing w:line="360" w:lineRule="auto"/>
        <w:jc w:val="left"/>
        <w:rPr>
          <w:b/>
          <w:bCs/>
          <w:kern w:val="0"/>
          <w:sz w:val="20"/>
        </w:rPr>
      </w:pPr>
    </w:p>
    <w:p w14:paraId="6C5AD546">
      <w:pPr>
        <w:autoSpaceDE w:val="0"/>
        <w:autoSpaceDN w:val="0"/>
        <w:adjustRightInd w:val="0"/>
        <w:snapToGrid w:val="0"/>
        <w:spacing w:line="360" w:lineRule="auto"/>
        <w:jc w:val="left"/>
        <w:rPr>
          <w:b/>
          <w:bCs/>
          <w:kern w:val="0"/>
          <w:sz w:val="20"/>
        </w:rPr>
      </w:pPr>
    </w:p>
    <w:p w14:paraId="73B4CB13">
      <w:pPr>
        <w:autoSpaceDE w:val="0"/>
        <w:autoSpaceDN w:val="0"/>
        <w:adjustRightInd w:val="0"/>
        <w:snapToGrid w:val="0"/>
        <w:spacing w:line="360" w:lineRule="auto"/>
        <w:jc w:val="left"/>
        <w:rPr>
          <w:b/>
          <w:bCs/>
          <w:kern w:val="0"/>
          <w:sz w:val="20"/>
        </w:rPr>
      </w:pPr>
    </w:p>
    <w:p w14:paraId="79DF806D">
      <w:pPr>
        <w:autoSpaceDE w:val="0"/>
        <w:autoSpaceDN w:val="0"/>
        <w:adjustRightInd w:val="0"/>
        <w:snapToGrid w:val="0"/>
        <w:spacing w:line="360" w:lineRule="auto"/>
        <w:jc w:val="left"/>
        <w:rPr>
          <w:b/>
          <w:bCs/>
          <w:kern w:val="0"/>
          <w:sz w:val="20"/>
        </w:rPr>
      </w:pPr>
    </w:p>
    <w:p w14:paraId="0E4EBE6D">
      <w:pPr>
        <w:autoSpaceDE w:val="0"/>
        <w:autoSpaceDN w:val="0"/>
        <w:adjustRightInd w:val="0"/>
        <w:snapToGrid w:val="0"/>
        <w:spacing w:line="360" w:lineRule="auto"/>
        <w:jc w:val="left"/>
        <w:rPr>
          <w:b/>
          <w:bCs/>
          <w:kern w:val="0"/>
          <w:sz w:val="20"/>
        </w:rPr>
      </w:pPr>
    </w:p>
    <w:p w14:paraId="7DEC1391">
      <w:pPr>
        <w:autoSpaceDE w:val="0"/>
        <w:autoSpaceDN w:val="0"/>
        <w:adjustRightInd w:val="0"/>
        <w:snapToGrid w:val="0"/>
        <w:spacing w:line="360" w:lineRule="auto"/>
        <w:jc w:val="left"/>
        <w:rPr>
          <w:b/>
          <w:bCs/>
          <w:kern w:val="0"/>
          <w:sz w:val="20"/>
        </w:rPr>
      </w:pPr>
    </w:p>
    <w:p w14:paraId="64B795D0">
      <w:pPr>
        <w:autoSpaceDE w:val="0"/>
        <w:autoSpaceDN w:val="0"/>
        <w:adjustRightInd w:val="0"/>
        <w:snapToGrid w:val="0"/>
        <w:spacing w:line="360" w:lineRule="auto"/>
        <w:jc w:val="left"/>
        <w:rPr>
          <w:b/>
          <w:bCs/>
          <w:kern w:val="0"/>
          <w:sz w:val="20"/>
        </w:rPr>
      </w:pPr>
    </w:p>
    <w:p w14:paraId="71FB3B61">
      <w:pPr>
        <w:autoSpaceDE w:val="0"/>
        <w:autoSpaceDN w:val="0"/>
        <w:adjustRightInd w:val="0"/>
        <w:snapToGrid w:val="0"/>
        <w:spacing w:line="360" w:lineRule="auto"/>
        <w:jc w:val="left"/>
        <w:rPr>
          <w:b/>
          <w:bCs/>
          <w:kern w:val="0"/>
          <w:sz w:val="20"/>
        </w:rPr>
      </w:pPr>
    </w:p>
    <w:p w14:paraId="4E21EAE1">
      <w:pPr>
        <w:autoSpaceDE w:val="0"/>
        <w:autoSpaceDN w:val="0"/>
        <w:adjustRightInd w:val="0"/>
        <w:snapToGrid w:val="0"/>
        <w:spacing w:line="360" w:lineRule="auto"/>
        <w:jc w:val="left"/>
        <w:rPr>
          <w:b/>
          <w:bCs/>
          <w:kern w:val="0"/>
          <w:sz w:val="20"/>
        </w:rPr>
      </w:pPr>
    </w:p>
    <w:p w14:paraId="063C9049">
      <w:pPr>
        <w:autoSpaceDE w:val="0"/>
        <w:autoSpaceDN w:val="0"/>
        <w:adjustRightInd w:val="0"/>
        <w:snapToGrid w:val="0"/>
        <w:spacing w:line="360" w:lineRule="auto"/>
        <w:jc w:val="left"/>
        <w:rPr>
          <w:b/>
          <w:bCs/>
          <w:kern w:val="0"/>
          <w:sz w:val="20"/>
        </w:rPr>
      </w:pPr>
    </w:p>
    <w:p w14:paraId="5C77EC20">
      <w:pPr>
        <w:autoSpaceDE w:val="0"/>
        <w:autoSpaceDN w:val="0"/>
        <w:adjustRightInd w:val="0"/>
        <w:snapToGrid w:val="0"/>
        <w:spacing w:line="360" w:lineRule="auto"/>
        <w:jc w:val="left"/>
        <w:rPr>
          <w:b/>
          <w:bCs/>
          <w:kern w:val="0"/>
          <w:sz w:val="20"/>
        </w:rPr>
      </w:pPr>
    </w:p>
    <w:p w14:paraId="7FAA7CE2">
      <w:pPr>
        <w:autoSpaceDE w:val="0"/>
        <w:autoSpaceDN w:val="0"/>
        <w:adjustRightInd w:val="0"/>
        <w:snapToGrid w:val="0"/>
        <w:spacing w:line="360" w:lineRule="auto"/>
        <w:jc w:val="left"/>
        <w:rPr>
          <w:b/>
          <w:bCs/>
          <w:kern w:val="0"/>
          <w:sz w:val="20"/>
        </w:rPr>
      </w:pPr>
    </w:p>
    <w:p w14:paraId="4A85F492">
      <w:pPr>
        <w:autoSpaceDE w:val="0"/>
        <w:autoSpaceDN w:val="0"/>
        <w:adjustRightInd w:val="0"/>
        <w:snapToGrid w:val="0"/>
        <w:spacing w:line="360" w:lineRule="auto"/>
        <w:jc w:val="left"/>
        <w:rPr>
          <w:b/>
          <w:bCs/>
          <w:kern w:val="0"/>
          <w:sz w:val="20"/>
        </w:rPr>
      </w:pPr>
    </w:p>
    <w:p w14:paraId="1004524B">
      <w:pPr>
        <w:autoSpaceDE w:val="0"/>
        <w:autoSpaceDN w:val="0"/>
        <w:adjustRightInd w:val="0"/>
        <w:snapToGrid w:val="0"/>
        <w:spacing w:line="360" w:lineRule="auto"/>
        <w:jc w:val="left"/>
        <w:rPr>
          <w:b/>
          <w:bCs/>
          <w:kern w:val="0"/>
          <w:sz w:val="20"/>
        </w:rPr>
      </w:pPr>
    </w:p>
    <w:p w14:paraId="10D5C524">
      <w:pPr>
        <w:spacing w:line="360" w:lineRule="auto"/>
        <w:jc w:val="center"/>
        <w:rPr>
          <w:rFonts w:eastAsia="黑体"/>
          <w:sz w:val="28"/>
          <w:szCs w:val="28"/>
        </w:rPr>
      </w:pPr>
      <w:r>
        <w:rPr>
          <w:rFonts w:hint="eastAsia" w:eastAsia="黑体"/>
          <w:sz w:val="28"/>
          <w:szCs w:val="28"/>
        </w:rPr>
        <w:t>投标人：</w:t>
      </w:r>
      <w:r>
        <w:rPr>
          <w:rFonts w:hint="eastAsia" w:eastAsia="黑体"/>
          <w:sz w:val="28"/>
          <w:szCs w:val="28"/>
          <w:u w:val="single"/>
        </w:rPr>
        <w:t xml:space="preserve">                               </w:t>
      </w:r>
      <w:r>
        <w:rPr>
          <w:rFonts w:hint="eastAsia" w:eastAsia="黑体"/>
          <w:sz w:val="28"/>
          <w:szCs w:val="28"/>
        </w:rPr>
        <w:t>（盖单位章）</w:t>
      </w:r>
    </w:p>
    <w:p w14:paraId="73F8AAE6">
      <w:pPr>
        <w:spacing w:line="360" w:lineRule="auto"/>
        <w:jc w:val="center"/>
        <w:rPr>
          <w:rFonts w:eastAsia="黑体"/>
          <w:sz w:val="28"/>
          <w:szCs w:val="28"/>
        </w:rPr>
      </w:pPr>
      <w:r>
        <w:rPr>
          <w:rFonts w:hint="eastAsia" w:eastAsia="黑体"/>
          <w:sz w:val="28"/>
          <w:szCs w:val="28"/>
        </w:rPr>
        <w:t>法定代表人或其委托代理人：</w:t>
      </w:r>
      <w:r>
        <w:rPr>
          <w:rFonts w:hint="eastAsia" w:eastAsia="黑体"/>
          <w:sz w:val="28"/>
          <w:szCs w:val="28"/>
          <w:u w:val="single"/>
        </w:rPr>
        <w:t xml:space="preserve">                 </w:t>
      </w:r>
      <w:r>
        <w:rPr>
          <w:rFonts w:hint="eastAsia" w:eastAsia="黑体"/>
          <w:sz w:val="28"/>
          <w:szCs w:val="28"/>
        </w:rPr>
        <w:t>（签字）</w:t>
      </w:r>
    </w:p>
    <w:p w14:paraId="25C13BEF">
      <w:pPr>
        <w:jc w:val="center"/>
        <w:rPr>
          <w:rFonts w:eastAsia="黑体"/>
          <w:sz w:val="28"/>
          <w:szCs w:val="28"/>
        </w:rPr>
      </w:pPr>
    </w:p>
    <w:p w14:paraId="0124F567">
      <w:pPr>
        <w:jc w:val="center"/>
        <w:rPr>
          <w:rFonts w:eastAsia="黑体"/>
          <w:sz w:val="28"/>
          <w:szCs w:val="28"/>
        </w:rPr>
      </w:pPr>
    </w:p>
    <w:p w14:paraId="01E71F07">
      <w:pPr>
        <w:tabs>
          <w:tab w:val="left" w:pos="3280"/>
          <w:tab w:val="left" w:pos="4680"/>
          <w:tab w:val="left" w:pos="6080"/>
        </w:tabs>
        <w:autoSpaceDE w:val="0"/>
        <w:autoSpaceDN w:val="0"/>
        <w:adjustRightInd w:val="0"/>
        <w:snapToGrid w:val="0"/>
        <w:spacing w:line="360" w:lineRule="auto"/>
        <w:jc w:val="center"/>
        <w:rPr>
          <w:b/>
          <w:bCs/>
          <w:kern w:val="0"/>
          <w:sz w:val="28"/>
        </w:rPr>
      </w:pPr>
      <w:r>
        <w:rPr>
          <w:rFonts w:hint="eastAsia" w:eastAsia="黑体"/>
          <w:sz w:val="28"/>
          <w:szCs w:val="28"/>
          <w:u w:val="single"/>
        </w:rPr>
        <w:t xml:space="preserve">         </w:t>
      </w:r>
      <w:r>
        <w:rPr>
          <w:rFonts w:hint="eastAsia" w:eastAsia="黑体"/>
          <w:sz w:val="28"/>
          <w:szCs w:val="28"/>
        </w:rPr>
        <w:t>年</w:t>
      </w:r>
      <w:r>
        <w:rPr>
          <w:rFonts w:hint="eastAsia" w:eastAsia="黑体"/>
          <w:sz w:val="28"/>
          <w:szCs w:val="28"/>
          <w:u w:val="single"/>
        </w:rPr>
        <w:t xml:space="preserve">         </w:t>
      </w:r>
      <w:r>
        <w:rPr>
          <w:rFonts w:hint="eastAsia" w:eastAsia="黑体"/>
          <w:sz w:val="28"/>
          <w:szCs w:val="28"/>
        </w:rPr>
        <w:t>月</w:t>
      </w:r>
      <w:r>
        <w:rPr>
          <w:rFonts w:hint="eastAsia" w:eastAsia="黑体"/>
          <w:sz w:val="28"/>
          <w:szCs w:val="28"/>
          <w:u w:val="single"/>
        </w:rPr>
        <w:t xml:space="preserve">         </w:t>
      </w:r>
      <w:r>
        <w:rPr>
          <w:rFonts w:hint="eastAsia" w:eastAsia="黑体"/>
          <w:sz w:val="28"/>
          <w:szCs w:val="28"/>
        </w:rPr>
        <w:t>日</w:t>
      </w:r>
    </w:p>
    <w:p w14:paraId="1A9E0246">
      <w:pPr>
        <w:autoSpaceDE w:val="0"/>
        <w:autoSpaceDN w:val="0"/>
        <w:adjustRightInd w:val="0"/>
        <w:snapToGrid w:val="0"/>
        <w:spacing w:line="360" w:lineRule="auto"/>
        <w:jc w:val="left"/>
        <w:rPr>
          <w:kern w:val="0"/>
          <w:sz w:val="24"/>
        </w:rPr>
      </w:pPr>
      <w:r>
        <w:rPr>
          <w:rFonts w:hint="eastAsia"/>
          <w:bCs/>
          <w:kern w:val="0"/>
          <w:sz w:val="24"/>
        </w:rPr>
        <w:br w:type="page"/>
      </w:r>
    </w:p>
    <w:p w14:paraId="3AC9F548">
      <w:pPr>
        <w:autoSpaceDE w:val="0"/>
        <w:autoSpaceDN w:val="0"/>
        <w:adjustRightInd w:val="0"/>
        <w:snapToGrid w:val="0"/>
        <w:spacing w:line="360" w:lineRule="auto"/>
        <w:jc w:val="center"/>
        <w:rPr>
          <w:rFonts w:eastAsia="黑体"/>
          <w:b/>
          <w:bCs/>
          <w:kern w:val="0"/>
          <w:sz w:val="32"/>
        </w:rPr>
      </w:pPr>
      <w:r>
        <w:rPr>
          <w:rFonts w:hint="eastAsia" w:eastAsia="黑体"/>
          <w:b/>
          <w:bCs/>
          <w:kern w:val="0"/>
          <w:sz w:val="32"/>
        </w:rPr>
        <w:t>目  录</w:t>
      </w:r>
    </w:p>
    <w:p w14:paraId="70D39F09">
      <w:pPr>
        <w:autoSpaceDE w:val="0"/>
        <w:autoSpaceDN w:val="0"/>
        <w:adjustRightInd w:val="0"/>
        <w:snapToGrid w:val="0"/>
        <w:spacing w:line="360" w:lineRule="auto"/>
        <w:ind w:firstLine="388" w:firstLineChars="196"/>
        <w:rPr>
          <w:spacing w:val="-6"/>
          <w:szCs w:val="21"/>
        </w:rPr>
      </w:pPr>
    </w:p>
    <w:p w14:paraId="0189168E">
      <w:pPr>
        <w:autoSpaceDE w:val="0"/>
        <w:autoSpaceDN w:val="0"/>
        <w:adjustRightInd w:val="0"/>
        <w:snapToGrid w:val="0"/>
        <w:spacing w:line="360" w:lineRule="auto"/>
        <w:ind w:firstLine="388" w:firstLineChars="196"/>
        <w:rPr>
          <w:spacing w:val="-6"/>
          <w:szCs w:val="21"/>
        </w:rPr>
      </w:pPr>
      <w:r>
        <w:rPr>
          <w:rFonts w:hint="eastAsia"/>
          <w:spacing w:val="-6"/>
          <w:szCs w:val="21"/>
        </w:rPr>
        <w:t>一、投标函（含报价）</w:t>
      </w:r>
    </w:p>
    <w:p w14:paraId="033309DA">
      <w:pPr>
        <w:autoSpaceDE w:val="0"/>
        <w:autoSpaceDN w:val="0"/>
        <w:adjustRightInd w:val="0"/>
        <w:snapToGrid w:val="0"/>
        <w:spacing w:line="360" w:lineRule="auto"/>
        <w:ind w:firstLine="388" w:firstLineChars="196"/>
        <w:rPr>
          <w:b/>
          <w:bCs/>
          <w:kern w:val="0"/>
          <w:sz w:val="32"/>
          <w:szCs w:val="24"/>
        </w:rPr>
      </w:pPr>
      <w:r>
        <w:rPr>
          <w:rFonts w:hint="eastAsia"/>
          <w:spacing w:val="-6"/>
          <w:szCs w:val="21"/>
        </w:rPr>
        <w:t>二、工程量清单报价书</w:t>
      </w:r>
    </w:p>
    <w:p w14:paraId="580D8F84">
      <w:pPr>
        <w:autoSpaceDE w:val="0"/>
        <w:autoSpaceDN w:val="0"/>
        <w:adjustRightInd w:val="0"/>
        <w:spacing w:line="360" w:lineRule="auto"/>
        <w:ind w:right="-20" w:firstLine="160" w:firstLineChars="50"/>
        <w:jc w:val="left"/>
        <w:rPr>
          <w:sz w:val="32"/>
        </w:rPr>
      </w:pPr>
    </w:p>
    <w:p w14:paraId="1B479D72">
      <w:pPr>
        <w:autoSpaceDE w:val="0"/>
        <w:autoSpaceDN w:val="0"/>
        <w:adjustRightInd w:val="0"/>
        <w:spacing w:line="360" w:lineRule="auto"/>
        <w:ind w:right="-20" w:firstLine="160" w:firstLineChars="50"/>
        <w:jc w:val="left"/>
        <w:rPr>
          <w:sz w:val="32"/>
        </w:rPr>
      </w:pPr>
    </w:p>
    <w:p w14:paraId="256FEB84">
      <w:pPr>
        <w:autoSpaceDE w:val="0"/>
        <w:autoSpaceDN w:val="0"/>
        <w:adjustRightInd w:val="0"/>
        <w:spacing w:line="360" w:lineRule="auto"/>
        <w:ind w:right="-20" w:firstLine="160" w:firstLineChars="50"/>
        <w:jc w:val="left"/>
        <w:rPr>
          <w:sz w:val="32"/>
        </w:rPr>
      </w:pPr>
    </w:p>
    <w:p w14:paraId="51AAFD45">
      <w:pPr>
        <w:autoSpaceDE w:val="0"/>
        <w:autoSpaceDN w:val="0"/>
        <w:adjustRightInd w:val="0"/>
        <w:spacing w:line="360" w:lineRule="auto"/>
        <w:ind w:right="-20" w:firstLine="160" w:firstLineChars="50"/>
        <w:jc w:val="left"/>
        <w:rPr>
          <w:sz w:val="32"/>
        </w:rPr>
      </w:pPr>
    </w:p>
    <w:p w14:paraId="27C32380">
      <w:pPr>
        <w:autoSpaceDE w:val="0"/>
        <w:autoSpaceDN w:val="0"/>
        <w:adjustRightInd w:val="0"/>
        <w:spacing w:line="360" w:lineRule="auto"/>
        <w:ind w:right="-20" w:firstLine="160" w:firstLineChars="50"/>
        <w:jc w:val="left"/>
        <w:rPr>
          <w:sz w:val="32"/>
        </w:rPr>
      </w:pPr>
    </w:p>
    <w:p w14:paraId="04359A67">
      <w:pPr>
        <w:autoSpaceDE w:val="0"/>
        <w:autoSpaceDN w:val="0"/>
        <w:adjustRightInd w:val="0"/>
        <w:spacing w:line="360" w:lineRule="auto"/>
        <w:ind w:right="-20" w:firstLine="160" w:firstLineChars="50"/>
        <w:jc w:val="left"/>
        <w:rPr>
          <w:sz w:val="32"/>
        </w:rPr>
      </w:pPr>
    </w:p>
    <w:p w14:paraId="17711E0A">
      <w:pPr>
        <w:autoSpaceDE w:val="0"/>
        <w:autoSpaceDN w:val="0"/>
        <w:adjustRightInd w:val="0"/>
        <w:spacing w:line="360" w:lineRule="auto"/>
        <w:ind w:right="-20" w:firstLine="160" w:firstLineChars="50"/>
        <w:jc w:val="left"/>
        <w:rPr>
          <w:sz w:val="32"/>
        </w:rPr>
      </w:pPr>
    </w:p>
    <w:p w14:paraId="699A1715">
      <w:pPr>
        <w:autoSpaceDE w:val="0"/>
        <w:autoSpaceDN w:val="0"/>
        <w:adjustRightInd w:val="0"/>
        <w:spacing w:line="360" w:lineRule="auto"/>
        <w:ind w:right="-20" w:firstLine="160" w:firstLineChars="50"/>
        <w:jc w:val="left"/>
        <w:rPr>
          <w:sz w:val="32"/>
        </w:rPr>
      </w:pPr>
    </w:p>
    <w:p w14:paraId="57747C56">
      <w:pPr>
        <w:autoSpaceDE w:val="0"/>
        <w:autoSpaceDN w:val="0"/>
        <w:adjustRightInd w:val="0"/>
        <w:spacing w:line="360" w:lineRule="auto"/>
        <w:ind w:right="-20" w:firstLine="160" w:firstLineChars="50"/>
        <w:jc w:val="left"/>
        <w:rPr>
          <w:sz w:val="32"/>
        </w:rPr>
      </w:pPr>
    </w:p>
    <w:p w14:paraId="2AD2C4D0">
      <w:pPr>
        <w:autoSpaceDE w:val="0"/>
        <w:autoSpaceDN w:val="0"/>
        <w:adjustRightInd w:val="0"/>
        <w:spacing w:line="360" w:lineRule="auto"/>
        <w:ind w:right="-20" w:firstLine="160" w:firstLineChars="50"/>
        <w:jc w:val="left"/>
        <w:rPr>
          <w:sz w:val="32"/>
        </w:rPr>
      </w:pPr>
    </w:p>
    <w:p w14:paraId="72D523AB">
      <w:pPr>
        <w:autoSpaceDE w:val="0"/>
        <w:autoSpaceDN w:val="0"/>
        <w:adjustRightInd w:val="0"/>
        <w:spacing w:line="360" w:lineRule="auto"/>
        <w:ind w:right="-20" w:firstLine="160" w:firstLineChars="50"/>
        <w:jc w:val="left"/>
        <w:rPr>
          <w:sz w:val="32"/>
        </w:rPr>
      </w:pPr>
    </w:p>
    <w:p w14:paraId="75C65B97">
      <w:pPr>
        <w:autoSpaceDE w:val="0"/>
        <w:autoSpaceDN w:val="0"/>
        <w:adjustRightInd w:val="0"/>
        <w:spacing w:line="360" w:lineRule="auto"/>
        <w:ind w:right="-20" w:firstLine="160" w:firstLineChars="50"/>
        <w:jc w:val="left"/>
        <w:rPr>
          <w:sz w:val="32"/>
        </w:rPr>
      </w:pPr>
    </w:p>
    <w:p w14:paraId="55B4B574">
      <w:pPr>
        <w:autoSpaceDE w:val="0"/>
        <w:autoSpaceDN w:val="0"/>
        <w:adjustRightInd w:val="0"/>
        <w:spacing w:line="360" w:lineRule="auto"/>
        <w:ind w:right="-20" w:firstLine="160" w:firstLineChars="50"/>
        <w:jc w:val="left"/>
        <w:rPr>
          <w:sz w:val="32"/>
        </w:rPr>
      </w:pPr>
    </w:p>
    <w:p w14:paraId="10A1F7E3">
      <w:pPr>
        <w:autoSpaceDE w:val="0"/>
        <w:autoSpaceDN w:val="0"/>
        <w:adjustRightInd w:val="0"/>
        <w:spacing w:line="360" w:lineRule="auto"/>
        <w:ind w:right="-20" w:firstLine="160" w:firstLineChars="50"/>
        <w:jc w:val="left"/>
        <w:rPr>
          <w:sz w:val="32"/>
        </w:rPr>
        <w:sectPr>
          <w:headerReference r:id="rId6" w:type="default"/>
          <w:footerReference r:id="rId8" w:type="default"/>
          <w:headerReference r:id="rId7" w:type="even"/>
          <w:footerReference r:id="rId9" w:type="even"/>
          <w:footnotePr>
            <w:numFmt w:val="decimalEnclosedCircleChinese"/>
            <w:numRestart w:val="eachPage"/>
          </w:footnotePr>
          <w:pgSz w:w="11907" w:h="16840"/>
          <w:pgMar w:top="1474" w:right="1474" w:bottom="1474" w:left="1474" w:header="799" w:footer="907" w:gutter="0"/>
          <w:cols w:space="720" w:num="1"/>
          <w:docGrid w:linePitch="271" w:charSpace="0"/>
        </w:sectPr>
      </w:pPr>
    </w:p>
    <w:p w14:paraId="30AF83A7">
      <w:pPr>
        <w:keepNext/>
        <w:keepLines/>
        <w:spacing w:before="120" w:after="120" w:line="360" w:lineRule="auto"/>
        <w:jc w:val="center"/>
        <w:outlineLvl w:val="2"/>
        <w:rPr>
          <w:rFonts w:eastAsia="黑体"/>
          <w:bCs/>
          <w:sz w:val="24"/>
          <w:szCs w:val="24"/>
        </w:rPr>
      </w:pPr>
      <w:bookmarkStart w:id="266" w:name="_Toc460227120"/>
      <w:bookmarkStart w:id="267" w:name="_Toc421917012"/>
      <w:bookmarkStart w:id="268" w:name="_Toc460660235"/>
      <w:bookmarkStart w:id="269" w:name="_Toc390411631"/>
      <w:bookmarkStart w:id="270" w:name="_Toc15649"/>
      <w:r>
        <w:rPr>
          <w:rFonts w:hint="eastAsia" w:eastAsia="黑体"/>
          <w:bCs/>
          <w:sz w:val="24"/>
          <w:szCs w:val="24"/>
        </w:rPr>
        <w:t>一、投标函</w:t>
      </w:r>
      <w:bookmarkEnd w:id="266"/>
      <w:bookmarkEnd w:id="267"/>
      <w:bookmarkEnd w:id="268"/>
      <w:bookmarkEnd w:id="269"/>
      <w:r>
        <w:rPr>
          <w:rFonts w:hint="eastAsia" w:eastAsia="黑体"/>
          <w:bCs/>
          <w:sz w:val="24"/>
          <w:szCs w:val="24"/>
        </w:rPr>
        <w:t>（含报价）</w:t>
      </w:r>
      <w:bookmarkEnd w:id="270"/>
    </w:p>
    <w:p w14:paraId="585A5C62">
      <w:pPr>
        <w:adjustRightInd w:val="0"/>
        <w:snapToGrid w:val="0"/>
        <w:spacing w:before="62" w:beforeLines="20" w:after="62" w:afterLines="20" w:line="400" w:lineRule="exact"/>
        <w:rPr>
          <w:u w:val="single"/>
        </w:rPr>
      </w:pPr>
      <w:r>
        <w:rPr>
          <w:rFonts w:hint="eastAsia" w:eastAsia="黑体"/>
          <w:snapToGrid w:val="0"/>
          <w:color w:val="000000"/>
          <w:kern w:val="0"/>
          <w:szCs w:val="21"/>
          <w:u w:val="single"/>
        </w:rPr>
        <w:t xml:space="preserve">            </w:t>
      </w:r>
      <w:r>
        <w:rPr>
          <w:snapToGrid w:val="0"/>
          <w:color w:val="000000"/>
          <w:kern w:val="0"/>
          <w:szCs w:val="21"/>
        </w:rPr>
        <w:t>（招标人名称）</w:t>
      </w:r>
      <w:r>
        <w:rPr>
          <w:rFonts w:hint="eastAsia"/>
          <w:snapToGrid w:val="0"/>
          <w:color w:val="000000"/>
          <w:kern w:val="0"/>
          <w:szCs w:val="21"/>
        </w:rPr>
        <w:t>：</w:t>
      </w:r>
    </w:p>
    <w:p w14:paraId="1D96F6B7">
      <w:pPr>
        <w:tabs>
          <w:tab w:val="left" w:pos="7560"/>
        </w:tabs>
        <w:adjustRightInd w:val="0"/>
        <w:snapToGrid w:val="0"/>
        <w:spacing w:before="62" w:beforeLines="20" w:after="62" w:afterLines="20" w:line="400" w:lineRule="exact"/>
        <w:ind w:firstLine="420" w:firstLineChars="200"/>
        <w:jc w:val="left"/>
        <w:rPr>
          <w:u w:val="single"/>
        </w:rPr>
      </w:pPr>
      <w:r>
        <w:rPr>
          <w:rFonts w:hint="eastAsia"/>
        </w:rPr>
        <w:t>1. 我方已仔细研究</w:t>
      </w:r>
      <w:r>
        <w:rPr>
          <w:rFonts w:hint="eastAsia"/>
          <w:u w:val="single"/>
        </w:rPr>
        <w:t xml:space="preserve">         </w:t>
      </w:r>
      <w:r>
        <w:rPr>
          <w:rFonts w:hint="eastAsia"/>
        </w:rPr>
        <w:t>（项目名称）</w:t>
      </w:r>
      <w:r>
        <w:rPr>
          <w:rFonts w:hint="eastAsia"/>
          <w:u w:val="single"/>
        </w:rPr>
        <w:t xml:space="preserve">   </w:t>
      </w:r>
      <w:r>
        <w:rPr>
          <w:rFonts w:hint="eastAsia"/>
        </w:rPr>
        <w:t>标段招标文件的全部内容，在考察工程现场后，愿意以</w:t>
      </w:r>
      <w:r>
        <w:rPr>
          <w:rFonts w:hint="eastAsia"/>
          <w:highlight w:val="yellow"/>
        </w:rPr>
        <w:t>人民币（大写）</w:t>
      </w:r>
      <w:r>
        <w:rPr>
          <w:rFonts w:hint="eastAsia"/>
          <w:highlight w:val="yellow"/>
          <w:u w:val="single"/>
        </w:rPr>
        <w:t xml:space="preserve">         </w:t>
      </w:r>
      <w:r>
        <w:rPr>
          <w:rFonts w:hint="eastAsia"/>
          <w:highlight w:val="yellow"/>
        </w:rPr>
        <w:t>元（¥</w:t>
      </w:r>
      <w:r>
        <w:rPr>
          <w:rFonts w:hint="eastAsia"/>
          <w:highlight w:val="yellow"/>
          <w:u w:val="single"/>
        </w:rPr>
        <w:t xml:space="preserve">         </w:t>
      </w:r>
      <w:r>
        <w:rPr>
          <w:rFonts w:hint="eastAsia"/>
          <w:highlight w:val="yellow"/>
        </w:rPr>
        <w:t>）的除税单价、人民币（大写）</w:t>
      </w:r>
      <w:r>
        <w:rPr>
          <w:rFonts w:hint="eastAsia"/>
          <w:highlight w:val="yellow"/>
          <w:u w:val="single"/>
        </w:rPr>
        <w:t xml:space="preserve">         </w:t>
      </w:r>
      <w:r>
        <w:rPr>
          <w:rFonts w:hint="eastAsia"/>
          <w:highlight w:val="yellow"/>
        </w:rPr>
        <w:t>元（¥</w:t>
      </w:r>
      <w:r>
        <w:rPr>
          <w:rFonts w:hint="eastAsia"/>
          <w:highlight w:val="yellow"/>
          <w:u w:val="single"/>
        </w:rPr>
        <w:t xml:space="preserve">         </w:t>
      </w:r>
      <w:r>
        <w:rPr>
          <w:rFonts w:hint="eastAsia"/>
          <w:highlight w:val="yellow"/>
        </w:rPr>
        <w:t>）的含税投标总报价</w:t>
      </w:r>
      <w:r>
        <w:rPr>
          <w:rFonts w:hint="eastAsia"/>
        </w:rPr>
        <w:t>，按合同约定实施和完成承包工程，修补工程中的任何缺陷。</w:t>
      </w:r>
    </w:p>
    <w:p w14:paraId="43839F86">
      <w:pPr>
        <w:adjustRightInd w:val="0"/>
        <w:snapToGrid w:val="0"/>
        <w:spacing w:before="62" w:beforeLines="20" w:after="62" w:afterLines="20" w:line="400" w:lineRule="exact"/>
        <w:ind w:firstLine="367" w:firstLineChars="175"/>
        <w:rPr>
          <w:bCs/>
          <w:szCs w:val="32"/>
        </w:rPr>
      </w:pPr>
      <w:r>
        <w:rPr>
          <w:rFonts w:hint="eastAsia"/>
          <w:bCs/>
          <w:szCs w:val="32"/>
        </w:rPr>
        <w:t>2. 我方已按招标文件要求详细审核并确认全部招标文件及有关附件，充分理解投标价格不得低于企业个别成本有关规定。我方经成本核算，所填报的投标报价不低于企业个别成本。</w:t>
      </w:r>
    </w:p>
    <w:p w14:paraId="2B8BB7BD">
      <w:pPr>
        <w:adjustRightInd w:val="0"/>
        <w:snapToGrid w:val="0"/>
        <w:spacing w:before="62" w:beforeLines="20" w:after="62" w:afterLines="20" w:line="400" w:lineRule="exact"/>
        <w:ind w:firstLine="367" w:firstLineChars="175"/>
        <w:rPr>
          <w:bCs/>
          <w:szCs w:val="32"/>
        </w:rPr>
      </w:pPr>
      <w:r>
        <w:rPr>
          <w:rFonts w:hint="eastAsia"/>
          <w:bCs/>
          <w:szCs w:val="32"/>
        </w:rPr>
        <w:t xml:space="preserve">3. </w:t>
      </w:r>
      <w:r>
        <w:rPr>
          <w:rFonts w:hint="eastAsia" w:eastAsia="黑体"/>
          <w:snapToGrid w:val="0"/>
          <w:color w:val="000000"/>
          <w:kern w:val="0"/>
          <w:szCs w:val="21"/>
          <w:u w:val="single"/>
        </w:rPr>
        <w:t xml:space="preserve">                          </w:t>
      </w:r>
      <w:r>
        <w:rPr>
          <w:snapToGrid w:val="0"/>
          <w:kern w:val="0"/>
          <w:szCs w:val="21"/>
        </w:rPr>
        <w:t>（其他补充说明）。</w:t>
      </w:r>
    </w:p>
    <w:p w14:paraId="2A14A242">
      <w:pPr>
        <w:adjustRightInd w:val="0"/>
        <w:snapToGrid w:val="0"/>
        <w:spacing w:before="62" w:beforeLines="20" w:after="62" w:afterLines="20" w:line="400" w:lineRule="exact"/>
        <w:ind w:firstLine="367" w:firstLineChars="175"/>
        <w:rPr>
          <w:bCs/>
          <w:szCs w:val="21"/>
        </w:rPr>
      </w:pPr>
    </w:p>
    <w:p w14:paraId="74A17439">
      <w:pPr>
        <w:adjustRightInd w:val="0"/>
        <w:snapToGrid w:val="0"/>
        <w:spacing w:before="62" w:beforeLines="20" w:after="62" w:afterLines="20" w:line="400" w:lineRule="exact"/>
        <w:ind w:firstLine="420" w:firstLineChars="200"/>
        <w:rPr>
          <w:bCs/>
          <w:szCs w:val="21"/>
          <w:u w:val="single"/>
        </w:rPr>
      </w:pPr>
      <w:r>
        <w:rPr>
          <w:rFonts w:hint="eastAsia"/>
          <w:bCs/>
          <w:szCs w:val="21"/>
        </w:rPr>
        <w:t>投 标 人：</w:t>
      </w:r>
      <w:r>
        <w:rPr>
          <w:rFonts w:hint="eastAsia"/>
          <w:bCs/>
          <w:szCs w:val="21"/>
          <w:u w:val="single"/>
        </w:rPr>
        <w:t xml:space="preserve">                                             </w:t>
      </w:r>
      <w:r>
        <w:rPr>
          <w:rFonts w:hint="eastAsia"/>
          <w:bCs/>
          <w:szCs w:val="21"/>
        </w:rPr>
        <w:t>（盖单位章）</w:t>
      </w:r>
    </w:p>
    <w:p w14:paraId="70F49C06">
      <w:pPr>
        <w:adjustRightInd w:val="0"/>
        <w:snapToGrid w:val="0"/>
        <w:spacing w:before="62" w:beforeLines="20" w:after="62" w:afterLines="20" w:line="400" w:lineRule="exact"/>
        <w:ind w:firstLine="420" w:firstLineChars="200"/>
        <w:rPr>
          <w:szCs w:val="21"/>
          <w:u w:val="single"/>
        </w:rPr>
      </w:pPr>
      <w:r>
        <w:rPr>
          <w:rFonts w:hint="eastAsia"/>
          <w:szCs w:val="21"/>
        </w:rPr>
        <w:t>法定代表人：</w:t>
      </w:r>
      <w:r>
        <w:rPr>
          <w:rFonts w:hint="eastAsia"/>
          <w:szCs w:val="21"/>
          <w:u w:val="single"/>
        </w:rPr>
        <w:t xml:space="preserve">                                           </w:t>
      </w:r>
      <w:r>
        <w:rPr>
          <w:rFonts w:hint="eastAsia"/>
          <w:szCs w:val="21"/>
        </w:rPr>
        <w:t>（签字或盖章）</w:t>
      </w:r>
    </w:p>
    <w:p w14:paraId="731292FB">
      <w:pPr>
        <w:adjustRightInd w:val="0"/>
        <w:snapToGrid w:val="0"/>
        <w:spacing w:before="62" w:beforeLines="20" w:after="62" w:afterLines="20" w:line="400" w:lineRule="exact"/>
        <w:ind w:left="109" w:leftChars="52" w:firstLine="315" w:firstLineChars="150"/>
        <w:rPr>
          <w:szCs w:val="21"/>
          <w:u w:val="single"/>
        </w:rPr>
      </w:pPr>
      <w:r>
        <w:rPr>
          <w:rFonts w:hint="eastAsia"/>
          <w:szCs w:val="21"/>
        </w:rPr>
        <w:t>单位地址：</w:t>
      </w:r>
      <w:r>
        <w:rPr>
          <w:rFonts w:hint="eastAsia"/>
          <w:szCs w:val="21"/>
          <w:u w:val="single"/>
        </w:rPr>
        <w:t xml:space="preserve">                                                       </w:t>
      </w:r>
    </w:p>
    <w:p w14:paraId="2A9D8A51">
      <w:pPr>
        <w:adjustRightInd w:val="0"/>
        <w:snapToGrid w:val="0"/>
        <w:spacing w:before="62" w:beforeLines="20" w:after="62" w:afterLines="20" w:line="400" w:lineRule="exact"/>
        <w:ind w:firstLine="420" w:firstLineChars="200"/>
        <w:rPr>
          <w:szCs w:val="21"/>
        </w:rPr>
      </w:pPr>
      <w:r>
        <w:rPr>
          <w:rFonts w:hint="eastAsia"/>
          <w:szCs w:val="21"/>
        </w:rPr>
        <w:t>邮政编码：</w:t>
      </w:r>
      <w:r>
        <w:rPr>
          <w:rFonts w:hint="eastAsia"/>
          <w:bCs/>
          <w:szCs w:val="32"/>
          <w:u w:val="single"/>
        </w:rPr>
        <w:t xml:space="preserve">           </w:t>
      </w:r>
      <w:r>
        <w:rPr>
          <w:rFonts w:hint="eastAsia"/>
          <w:szCs w:val="21"/>
        </w:rPr>
        <w:t>电话：</w:t>
      </w:r>
      <w:r>
        <w:rPr>
          <w:rFonts w:hint="eastAsia"/>
          <w:bCs/>
          <w:szCs w:val="32"/>
          <w:u w:val="single"/>
        </w:rPr>
        <w:t xml:space="preserve">           </w:t>
      </w:r>
      <w:r>
        <w:rPr>
          <w:rFonts w:hint="eastAsia"/>
          <w:szCs w:val="21"/>
        </w:rPr>
        <w:t xml:space="preserve"> 传真：</w:t>
      </w:r>
      <w:r>
        <w:rPr>
          <w:rFonts w:hint="eastAsia"/>
          <w:szCs w:val="21"/>
          <w:u w:val="single"/>
        </w:rPr>
        <w:t xml:space="preserve">                    </w:t>
      </w:r>
      <w:r>
        <w:rPr>
          <w:rFonts w:hint="eastAsia"/>
          <w:szCs w:val="21"/>
        </w:rPr>
        <w:t xml:space="preserve"> </w:t>
      </w:r>
    </w:p>
    <w:p w14:paraId="78D004E3">
      <w:pPr>
        <w:adjustRightInd w:val="0"/>
        <w:snapToGrid w:val="0"/>
        <w:spacing w:before="62" w:beforeLines="20" w:after="62" w:afterLines="20" w:line="400" w:lineRule="exact"/>
        <w:ind w:firstLine="420" w:firstLineChars="200"/>
      </w:pPr>
      <w:r>
        <w:rPr>
          <w:rFonts w:hint="eastAsia"/>
          <w:szCs w:val="21"/>
        </w:rPr>
        <w:t>日期：</w:t>
      </w:r>
      <w:r>
        <w:rPr>
          <w:rFonts w:hint="eastAsia"/>
          <w:bCs/>
          <w:szCs w:val="32"/>
          <w:u w:val="single"/>
        </w:rPr>
        <w:t xml:space="preserve">         </w:t>
      </w:r>
      <w:r>
        <w:rPr>
          <w:rFonts w:hint="eastAsia"/>
          <w:szCs w:val="21"/>
        </w:rPr>
        <w:t>年</w:t>
      </w:r>
      <w:r>
        <w:rPr>
          <w:rFonts w:hint="eastAsia"/>
          <w:bCs/>
          <w:szCs w:val="32"/>
          <w:u w:val="single"/>
        </w:rPr>
        <w:t xml:space="preserve">         </w:t>
      </w:r>
      <w:r>
        <w:rPr>
          <w:rFonts w:hint="eastAsia"/>
          <w:szCs w:val="21"/>
        </w:rPr>
        <w:t>月</w:t>
      </w:r>
      <w:r>
        <w:rPr>
          <w:rFonts w:hint="eastAsia"/>
          <w:bCs/>
          <w:szCs w:val="32"/>
          <w:u w:val="single"/>
        </w:rPr>
        <w:t xml:space="preserve">         </w:t>
      </w:r>
      <w:r>
        <w:rPr>
          <w:rFonts w:hint="eastAsia"/>
          <w:szCs w:val="21"/>
        </w:rPr>
        <w:t>日</w:t>
      </w:r>
    </w:p>
    <w:p w14:paraId="5F5872E5">
      <w:pPr>
        <w:jc w:val="center"/>
      </w:pPr>
      <w:r>
        <w:br w:type="page"/>
      </w:r>
      <w:r>
        <w:rPr>
          <w:rFonts w:hint="eastAsia" w:eastAsia="黑体"/>
          <w:bCs/>
          <w:sz w:val="24"/>
          <w:szCs w:val="24"/>
        </w:rPr>
        <w:t>二、工程量清单报价书</w:t>
      </w:r>
    </w:p>
    <w:p w14:paraId="5F3CB3E6">
      <w:pPr>
        <w:spacing w:line="360" w:lineRule="auto"/>
        <w:rPr>
          <w:rFonts w:eastAsia="黑体"/>
          <w:bCs/>
          <w:szCs w:val="21"/>
        </w:rPr>
      </w:pPr>
    </w:p>
    <w:p w14:paraId="36CE704C">
      <w:pPr>
        <w:spacing w:line="360" w:lineRule="auto"/>
        <w:rPr>
          <w:b/>
          <w:szCs w:val="24"/>
        </w:rPr>
      </w:pPr>
      <w:r>
        <w:rPr>
          <w:rFonts w:hint="eastAsia" w:eastAsia="黑体"/>
          <w:bCs/>
          <w:szCs w:val="21"/>
        </w:rPr>
        <w:t>1、投标报价书封面</w:t>
      </w:r>
    </w:p>
    <w:p w14:paraId="28B6E31C">
      <w:pPr>
        <w:jc w:val="center"/>
        <w:rPr>
          <w:sz w:val="44"/>
          <w:szCs w:val="44"/>
        </w:rPr>
      </w:pPr>
    </w:p>
    <w:p w14:paraId="0B33784D">
      <w:pPr>
        <w:jc w:val="center"/>
        <w:rPr>
          <w:sz w:val="44"/>
          <w:szCs w:val="44"/>
        </w:rPr>
      </w:pPr>
      <w:r>
        <w:rPr>
          <w:rFonts w:hint="eastAsia"/>
          <w:sz w:val="44"/>
          <w:szCs w:val="44"/>
        </w:rPr>
        <w:t>投</w:t>
      </w:r>
      <w:r>
        <w:rPr>
          <w:sz w:val="44"/>
          <w:szCs w:val="44"/>
        </w:rPr>
        <w:t xml:space="preserve">  </w:t>
      </w:r>
      <w:r>
        <w:rPr>
          <w:rFonts w:hint="eastAsia"/>
          <w:sz w:val="44"/>
          <w:szCs w:val="44"/>
        </w:rPr>
        <w:t>标</w:t>
      </w:r>
      <w:r>
        <w:rPr>
          <w:sz w:val="44"/>
          <w:szCs w:val="44"/>
        </w:rPr>
        <w:t xml:space="preserve">  </w:t>
      </w:r>
      <w:r>
        <w:rPr>
          <w:rFonts w:hint="eastAsia"/>
          <w:sz w:val="44"/>
          <w:szCs w:val="44"/>
        </w:rPr>
        <w:t>总</w:t>
      </w:r>
      <w:r>
        <w:rPr>
          <w:sz w:val="44"/>
          <w:szCs w:val="44"/>
        </w:rPr>
        <w:t xml:space="preserve">  </w:t>
      </w:r>
      <w:r>
        <w:rPr>
          <w:rFonts w:hint="eastAsia"/>
          <w:sz w:val="44"/>
          <w:szCs w:val="44"/>
        </w:rPr>
        <w:t>价</w:t>
      </w:r>
      <w:r>
        <w:rPr>
          <w:sz w:val="44"/>
          <w:szCs w:val="44"/>
        </w:rPr>
        <w:t xml:space="preserve"> </w:t>
      </w:r>
    </w:p>
    <w:p w14:paraId="509ACE41">
      <w:pPr>
        <w:rPr>
          <w:szCs w:val="21"/>
        </w:rPr>
      </w:pPr>
      <w:r>
        <w:rPr>
          <w:szCs w:val="21"/>
        </w:rPr>
        <w:t xml:space="preserve"> </w:t>
      </w:r>
    </w:p>
    <w:p w14:paraId="5DE77ADD">
      <w:pPr>
        <w:rPr>
          <w:szCs w:val="24"/>
        </w:rPr>
      </w:pPr>
      <w:r>
        <w:rPr>
          <w:szCs w:val="24"/>
        </w:rPr>
        <w:t xml:space="preserve"> </w:t>
      </w:r>
    </w:p>
    <w:p w14:paraId="146155AB">
      <w:pPr>
        <w:spacing w:line="500" w:lineRule="exact"/>
        <w:ind w:firstLine="420"/>
        <w:rPr>
          <w:sz w:val="28"/>
          <w:szCs w:val="24"/>
        </w:rPr>
      </w:pPr>
      <w:r>
        <w:rPr>
          <w:rFonts w:hint="eastAsia"/>
          <w:sz w:val="28"/>
          <w:szCs w:val="24"/>
        </w:rPr>
        <w:t>招标人：</w:t>
      </w:r>
      <w:r>
        <w:rPr>
          <w:sz w:val="28"/>
          <w:szCs w:val="24"/>
          <w:u w:val="single"/>
        </w:rPr>
        <w:t xml:space="preserve"> </w:t>
      </w:r>
      <w:r>
        <w:rPr>
          <w:rFonts w:hint="eastAsia"/>
          <w:sz w:val="28"/>
          <w:szCs w:val="24"/>
          <w:u w:val="single"/>
        </w:rPr>
        <w:t xml:space="preserve">  </w:t>
      </w:r>
      <w:r>
        <w:rPr>
          <w:sz w:val="28"/>
          <w:szCs w:val="24"/>
          <w:u w:val="single"/>
        </w:rPr>
        <w:t xml:space="preserve">                                              </w:t>
      </w:r>
      <w:r>
        <w:rPr>
          <w:rFonts w:hint="eastAsia"/>
          <w:sz w:val="28"/>
          <w:szCs w:val="24"/>
          <w:u w:val="single"/>
        </w:rPr>
        <w:t xml:space="preserve"> </w:t>
      </w:r>
      <w:r>
        <w:rPr>
          <w:sz w:val="28"/>
          <w:szCs w:val="24"/>
          <w:u w:val="single"/>
        </w:rPr>
        <w:t xml:space="preserve">  </w:t>
      </w:r>
    </w:p>
    <w:p w14:paraId="75202B61">
      <w:pPr>
        <w:spacing w:line="500" w:lineRule="exact"/>
        <w:ind w:firstLine="420"/>
        <w:rPr>
          <w:sz w:val="28"/>
          <w:szCs w:val="24"/>
        </w:rPr>
      </w:pPr>
    </w:p>
    <w:p w14:paraId="6E2D1329">
      <w:pPr>
        <w:spacing w:line="500" w:lineRule="exact"/>
        <w:ind w:firstLine="420"/>
        <w:rPr>
          <w:sz w:val="28"/>
          <w:szCs w:val="24"/>
        </w:rPr>
      </w:pPr>
      <w:r>
        <w:rPr>
          <w:rFonts w:hint="eastAsia"/>
          <w:sz w:val="28"/>
          <w:szCs w:val="24"/>
        </w:rPr>
        <w:t>工程名称：</w:t>
      </w:r>
      <w:r>
        <w:rPr>
          <w:sz w:val="28"/>
          <w:szCs w:val="24"/>
          <w:u w:val="single"/>
        </w:rPr>
        <w:t xml:space="preserve">           </w:t>
      </w:r>
      <w:r>
        <w:rPr>
          <w:rFonts w:hint="eastAsia"/>
          <w:sz w:val="28"/>
          <w:szCs w:val="24"/>
          <w:u w:val="single"/>
        </w:rPr>
        <w:t xml:space="preserve">        </w:t>
      </w:r>
      <w:r>
        <w:rPr>
          <w:sz w:val="28"/>
          <w:szCs w:val="24"/>
          <w:u w:val="single"/>
        </w:rPr>
        <w:t xml:space="preserve">                               </w:t>
      </w:r>
    </w:p>
    <w:p w14:paraId="5244ED86">
      <w:pPr>
        <w:spacing w:line="500" w:lineRule="exact"/>
        <w:ind w:firstLine="420"/>
        <w:rPr>
          <w:sz w:val="28"/>
          <w:szCs w:val="24"/>
        </w:rPr>
      </w:pPr>
      <w:r>
        <w:rPr>
          <w:sz w:val="28"/>
          <w:szCs w:val="24"/>
        </w:rPr>
        <w:t xml:space="preserve"> </w:t>
      </w:r>
    </w:p>
    <w:p w14:paraId="39592198">
      <w:pPr>
        <w:spacing w:line="500" w:lineRule="exact"/>
        <w:ind w:firstLine="420"/>
        <w:rPr>
          <w:sz w:val="28"/>
          <w:szCs w:val="24"/>
        </w:rPr>
      </w:pPr>
      <w:r>
        <w:rPr>
          <w:rFonts w:hint="eastAsia"/>
          <w:sz w:val="28"/>
          <w:szCs w:val="24"/>
        </w:rPr>
        <w:t>投标总价（小写）：</w:t>
      </w:r>
      <w:r>
        <w:rPr>
          <w:sz w:val="28"/>
          <w:szCs w:val="24"/>
          <w:u w:val="single"/>
        </w:rPr>
        <w:t xml:space="preserve">                                           </w:t>
      </w:r>
    </w:p>
    <w:p w14:paraId="2B6A9DFC">
      <w:pPr>
        <w:spacing w:line="500" w:lineRule="exact"/>
        <w:ind w:firstLine="480"/>
        <w:rPr>
          <w:sz w:val="28"/>
          <w:szCs w:val="24"/>
        </w:rPr>
      </w:pPr>
      <w:r>
        <w:rPr>
          <w:sz w:val="28"/>
          <w:szCs w:val="24"/>
        </w:rPr>
        <w:t xml:space="preserve"> </w:t>
      </w:r>
    </w:p>
    <w:p w14:paraId="343B9740">
      <w:pPr>
        <w:spacing w:line="500" w:lineRule="exact"/>
        <w:rPr>
          <w:sz w:val="28"/>
          <w:szCs w:val="24"/>
        </w:rPr>
      </w:pPr>
      <w:r>
        <w:rPr>
          <w:sz w:val="28"/>
          <w:szCs w:val="24"/>
        </w:rPr>
        <w:t xml:space="preserve">           </w:t>
      </w:r>
      <w:r>
        <w:rPr>
          <w:rFonts w:hint="eastAsia"/>
          <w:sz w:val="28"/>
          <w:szCs w:val="24"/>
        </w:rPr>
        <w:t>（大写）：</w:t>
      </w:r>
      <w:r>
        <w:rPr>
          <w:sz w:val="28"/>
          <w:szCs w:val="24"/>
          <w:u w:val="single"/>
        </w:rPr>
        <w:t xml:space="preserve">                                           </w:t>
      </w:r>
    </w:p>
    <w:p w14:paraId="6D264FC2">
      <w:pPr>
        <w:rPr>
          <w:rFonts w:eastAsia="仿宋_GB2312"/>
          <w:szCs w:val="21"/>
        </w:rPr>
      </w:pPr>
      <w:r>
        <w:rPr>
          <w:rFonts w:eastAsia="仿宋_GB2312"/>
          <w:sz w:val="28"/>
          <w:szCs w:val="20"/>
        </w:rPr>
        <w:t xml:space="preserve"> </w:t>
      </w:r>
      <w:r>
        <w:rPr>
          <w:rFonts w:eastAsia="仿宋_GB2312"/>
          <w:szCs w:val="21"/>
        </w:rPr>
        <w:t xml:space="preserve"> </w:t>
      </w:r>
    </w:p>
    <w:p w14:paraId="71CEB9B0">
      <w:pPr>
        <w:rPr>
          <w:szCs w:val="24"/>
        </w:rPr>
      </w:pPr>
    </w:p>
    <w:p w14:paraId="22B68AA7">
      <w:pPr>
        <w:rPr>
          <w:szCs w:val="24"/>
        </w:rPr>
      </w:pPr>
    </w:p>
    <w:p w14:paraId="4FF1E9EE">
      <w:pPr>
        <w:rPr>
          <w:szCs w:val="24"/>
        </w:rPr>
      </w:pPr>
    </w:p>
    <w:p w14:paraId="0EA83152">
      <w:pPr>
        <w:ind w:firstLine="360" w:firstLineChars="150"/>
        <w:rPr>
          <w:sz w:val="28"/>
          <w:szCs w:val="24"/>
        </w:rPr>
      </w:pPr>
      <w:r>
        <w:rPr>
          <w:sz w:val="24"/>
          <w:szCs w:val="21"/>
        </w:rPr>
        <w:t xml:space="preserve"> </w:t>
      </w:r>
      <w:r>
        <w:rPr>
          <w:rFonts w:hint="eastAsia"/>
          <w:sz w:val="28"/>
          <w:szCs w:val="24"/>
        </w:rPr>
        <w:t>投</w:t>
      </w:r>
      <w:r>
        <w:rPr>
          <w:sz w:val="28"/>
          <w:szCs w:val="24"/>
        </w:rPr>
        <w:t xml:space="preserve">  </w:t>
      </w:r>
      <w:r>
        <w:rPr>
          <w:rFonts w:hint="eastAsia"/>
          <w:sz w:val="28"/>
          <w:szCs w:val="24"/>
        </w:rPr>
        <w:t>标</w:t>
      </w:r>
      <w:r>
        <w:rPr>
          <w:sz w:val="28"/>
          <w:szCs w:val="24"/>
        </w:rPr>
        <w:t xml:space="preserve">  </w:t>
      </w:r>
      <w:r>
        <w:rPr>
          <w:rFonts w:hint="eastAsia"/>
          <w:sz w:val="28"/>
          <w:szCs w:val="24"/>
        </w:rPr>
        <w:t>人：</w:t>
      </w:r>
      <w:r>
        <w:rPr>
          <w:sz w:val="28"/>
          <w:szCs w:val="24"/>
          <w:u w:val="single"/>
        </w:rPr>
        <w:t xml:space="preserve">                                  </w:t>
      </w:r>
      <w:r>
        <w:rPr>
          <w:rFonts w:hint="eastAsia"/>
          <w:sz w:val="28"/>
          <w:szCs w:val="24"/>
        </w:rPr>
        <w:t>（单位盖章）</w:t>
      </w:r>
    </w:p>
    <w:p w14:paraId="6578D2CE">
      <w:pPr>
        <w:ind w:firstLine="420" w:firstLineChars="150"/>
        <w:rPr>
          <w:sz w:val="28"/>
          <w:szCs w:val="24"/>
        </w:rPr>
      </w:pPr>
    </w:p>
    <w:p w14:paraId="673C15A1">
      <w:pPr>
        <w:rPr>
          <w:sz w:val="28"/>
          <w:szCs w:val="24"/>
        </w:rPr>
      </w:pPr>
      <w:r>
        <w:rPr>
          <w:rFonts w:hint="eastAsia"/>
          <w:sz w:val="28"/>
          <w:szCs w:val="24"/>
        </w:rPr>
        <w:t xml:space="preserve">  </w:t>
      </w:r>
      <w:r>
        <w:rPr>
          <w:sz w:val="28"/>
          <w:szCs w:val="24"/>
        </w:rPr>
        <w:t xml:space="preserve"> </w:t>
      </w:r>
      <w:r>
        <w:rPr>
          <w:rFonts w:hint="eastAsia"/>
          <w:sz w:val="28"/>
          <w:szCs w:val="24"/>
        </w:rPr>
        <w:t>法定代表人或其授权人：</w:t>
      </w:r>
      <w:r>
        <w:rPr>
          <w:sz w:val="28"/>
          <w:szCs w:val="24"/>
          <w:u w:val="single"/>
        </w:rPr>
        <w:t xml:space="preserve">                       </w:t>
      </w:r>
      <w:r>
        <w:rPr>
          <w:rFonts w:hint="eastAsia"/>
          <w:sz w:val="28"/>
          <w:szCs w:val="24"/>
        </w:rPr>
        <w:t>（签字或盖章）</w:t>
      </w:r>
      <w:r>
        <w:rPr>
          <w:sz w:val="28"/>
          <w:szCs w:val="24"/>
        </w:rPr>
        <w:t xml:space="preserve"> </w:t>
      </w:r>
    </w:p>
    <w:p w14:paraId="0716B7CE">
      <w:pPr>
        <w:rPr>
          <w:sz w:val="28"/>
          <w:szCs w:val="24"/>
        </w:rPr>
      </w:pPr>
      <w:r>
        <w:rPr>
          <w:sz w:val="28"/>
          <w:szCs w:val="24"/>
        </w:rPr>
        <w:t xml:space="preserve"> </w:t>
      </w:r>
      <w:r>
        <w:rPr>
          <w:rFonts w:hint="eastAsia"/>
          <w:sz w:val="28"/>
          <w:szCs w:val="24"/>
        </w:rPr>
        <w:t xml:space="preserve">  </w:t>
      </w:r>
    </w:p>
    <w:p w14:paraId="0D96060C">
      <w:pPr>
        <w:rPr>
          <w:sz w:val="28"/>
          <w:szCs w:val="24"/>
        </w:rPr>
      </w:pPr>
    </w:p>
    <w:p w14:paraId="4F72B447">
      <w:pPr>
        <w:ind w:firstLine="420" w:firstLineChars="150"/>
        <w:rPr>
          <w:sz w:val="28"/>
          <w:szCs w:val="24"/>
        </w:rPr>
      </w:pPr>
      <w:r>
        <w:rPr>
          <w:rFonts w:hint="eastAsia"/>
          <w:sz w:val="28"/>
          <w:szCs w:val="24"/>
        </w:rPr>
        <w:t>编制人：</w:t>
      </w:r>
      <w:r>
        <w:rPr>
          <w:sz w:val="28"/>
          <w:szCs w:val="24"/>
          <w:u w:val="single"/>
        </w:rPr>
        <w:t xml:space="preserve">                       </w:t>
      </w:r>
      <w:r>
        <w:rPr>
          <w:rFonts w:hint="eastAsia"/>
          <w:sz w:val="28"/>
          <w:szCs w:val="24"/>
        </w:rPr>
        <w:t>（造价人员签字盖专用章）</w:t>
      </w:r>
    </w:p>
    <w:p w14:paraId="7E7AF14A">
      <w:pPr>
        <w:ind w:firstLine="420" w:firstLineChars="150"/>
        <w:rPr>
          <w:sz w:val="28"/>
          <w:szCs w:val="24"/>
        </w:rPr>
      </w:pPr>
    </w:p>
    <w:p w14:paraId="4D879A7E">
      <w:pPr>
        <w:adjustRightInd w:val="0"/>
        <w:snapToGrid w:val="0"/>
        <w:spacing w:before="62" w:beforeLines="20" w:after="62" w:afterLines="20"/>
        <w:ind w:firstLine="358" w:firstLineChars="128"/>
        <w:jc w:val="center"/>
        <w:rPr>
          <w:sz w:val="28"/>
          <w:szCs w:val="24"/>
        </w:rPr>
      </w:pPr>
    </w:p>
    <w:p w14:paraId="663EC24A">
      <w:pPr>
        <w:adjustRightInd w:val="0"/>
        <w:snapToGrid w:val="0"/>
        <w:spacing w:before="62" w:beforeLines="20" w:after="62" w:afterLines="20"/>
        <w:jc w:val="center"/>
        <w:rPr>
          <w:b/>
          <w:bCs/>
          <w:sz w:val="36"/>
          <w:szCs w:val="24"/>
        </w:rPr>
      </w:pPr>
      <w:r>
        <w:rPr>
          <w:rFonts w:hint="eastAsia"/>
          <w:sz w:val="28"/>
          <w:szCs w:val="24"/>
        </w:rPr>
        <w:t>时间：</w:t>
      </w:r>
      <w:r>
        <w:rPr>
          <w:rFonts w:hint="eastAsia"/>
          <w:sz w:val="28"/>
          <w:szCs w:val="24"/>
          <w:u w:val="single"/>
        </w:rPr>
        <w:t xml:space="preserve">        </w:t>
      </w:r>
      <w:r>
        <w:rPr>
          <w:rFonts w:hint="eastAsia"/>
          <w:sz w:val="28"/>
          <w:szCs w:val="24"/>
        </w:rPr>
        <w:t>年</w:t>
      </w:r>
      <w:r>
        <w:rPr>
          <w:rFonts w:hint="eastAsia"/>
          <w:sz w:val="28"/>
          <w:szCs w:val="24"/>
          <w:u w:val="single"/>
        </w:rPr>
        <w:t xml:space="preserve">      </w:t>
      </w:r>
      <w:r>
        <w:rPr>
          <w:rFonts w:hint="eastAsia"/>
          <w:sz w:val="28"/>
          <w:szCs w:val="24"/>
        </w:rPr>
        <w:t>月</w:t>
      </w:r>
      <w:r>
        <w:rPr>
          <w:rFonts w:hint="eastAsia"/>
          <w:sz w:val="28"/>
          <w:szCs w:val="24"/>
          <w:u w:val="single"/>
        </w:rPr>
        <w:t xml:space="preserve">      </w:t>
      </w:r>
      <w:r>
        <w:rPr>
          <w:rFonts w:hint="eastAsia"/>
          <w:sz w:val="28"/>
          <w:szCs w:val="24"/>
        </w:rPr>
        <w:t>日</w:t>
      </w:r>
    </w:p>
    <w:p w14:paraId="10B08E04">
      <w:pPr>
        <w:rPr>
          <w:szCs w:val="24"/>
        </w:rPr>
      </w:pPr>
    </w:p>
    <w:p w14:paraId="6044EFF7">
      <w:pPr>
        <w:spacing w:line="360" w:lineRule="auto"/>
        <w:rPr>
          <w:rFonts w:eastAsia="黑体"/>
          <w:bCs/>
          <w:szCs w:val="21"/>
        </w:rPr>
      </w:pPr>
      <w:r>
        <w:rPr>
          <w:szCs w:val="24"/>
        </w:rPr>
        <w:br w:type="page"/>
      </w:r>
      <w:r>
        <w:rPr>
          <w:rFonts w:hint="eastAsia" w:eastAsia="黑体"/>
          <w:bCs/>
          <w:szCs w:val="21"/>
        </w:rPr>
        <w:t>2、总说明</w:t>
      </w:r>
    </w:p>
    <w:p w14:paraId="4FB6BFA1">
      <w:pPr>
        <w:jc w:val="center"/>
        <w:rPr>
          <w:rFonts w:cs="宋体"/>
          <w:b/>
          <w:bCs/>
          <w:kern w:val="0"/>
          <w:szCs w:val="21"/>
        </w:rPr>
      </w:pPr>
      <w:r>
        <w:rPr>
          <w:rFonts w:hint="eastAsia" w:cs="宋体"/>
          <w:b/>
          <w:bCs/>
          <w:kern w:val="0"/>
          <w:szCs w:val="21"/>
        </w:rPr>
        <w:t>总  说  明</w:t>
      </w:r>
    </w:p>
    <w:p w14:paraId="30E268B8">
      <w:pPr>
        <w:jc w:val="center"/>
        <w:rPr>
          <w:rFonts w:cs="宋体"/>
          <w:b/>
          <w:bCs/>
          <w:kern w:val="0"/>
          <w:szCs w:val="21"/>
        </w:rPr>
      </w:pPr>
    </w:p>
    <w:p w14:paraId="78D81D87">
      <w:pPr>
        <w:ind w:firstLine="420"/>
        <w:rPr>
          <w:sz w:val="24"/>
          <w:szCs w:val="24"/>
        </w:rPr>
      </w:pPr>
      <w:r>
        <w:rPr>
          <w:rFonts w:hint="eastAsia"/>
          <w:sz w:val="18"/>
          <w:szCs w:val="18"/>
        </w:rPr>
        <w:t>工程名称：                                                       第    页    共     页</w:t>
      </w:r>
    </w:p>
    <w:p w14:paraId="15F1B736">
      <w:pPr>
        <w:jc w:val="center"/>
        <w:rPr>
          <w:sz w:val="24"/>
          <w:szCs w:val="24"/>
        </w:rPr>
      </w:pPr>
      <w:r>
        <w:rPr>
          <w:szCs w:val="24"/>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118110</wp:posOffset>
                </wp:positionV>
                <wp:extent cx="6000750" cy="7556500"/>
                <wp:effectExtent l="5080" t="4445" r="13970" b="13335"/>
                <wp:wrapNone/>
                <wp:docPr id="4" name="文本框 4"/>
                <wp:cNvGraphicFramePr/>
                <a:graphic xmlns:a="http://schemas.openxmlformats.org/drawingml/2006/main">
                  <a:graphicData uri="http://schemas.microsoft.com/office/word/2010/wordprocessingShape">
                    <wps:wsp>
                      <wps:cNvSpPr txBox="1"/>
                      <wps:spPr>
                        <a:xfrm>
                          <a:off x="0" y="0"/>
                          <a:ext cx="6000750" cy="75565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F5F962">
                            <w:pPr>
                              <w:pStyle w:val="12"/>
                              <w:pBdr>
                                <w:bottom w:val="none" w:color="auto" w:sz="0" w:space="0"/>
                              </w:pBdr>
                              <w:rPr>
                                <w:color w:val="0070C0"/>
                              </w:rPr>
                            </w:pPr>
                          </w:p>
                          <w:p w14:paraId="346D1405">
                            <w:pPr>
                              <w:rPr>
                                <w:color w:val="0070C0"/>
                              </w:rPr>
                            </w:pPr>
                          </w:p>
                          <w:p w14:paraId="57A5E17A">
                            <w:pPr>
                              <w:tabs>
                                <w:tab w:val="left" w:pos="2580"/>
                              </w:tabs>
                              <w:spacing w:before="62" w:beforeLines="20" w:after="62" w:afterLines="20" w:line="540" w:lineRule="exact"/>
                              <w:ind w:firstLine="420" w:firstLineChars="200"/>
                              <w:rPr>
                                <w:rFonts w:hint="eastAsia" w:ascii="宋体" w:hAnsi="宋体"/>
                                <w:szCs w:val="21"/>
                              </w:rPr>
                            </w:pPr>
                            <w:r>
                              <w:rPr>
                                <w:rFonts w:hint="eastAsia" w:ascii="宋体" w:hAnsi="宋体"/>
                                <w:szCs w:val="21"/>
                              </w:rPr>
                              <w:t>1.本报价依据本工程投标须知和合同文件的有关条款进行编制。</w:t>
                            </w:r>
                          </w:p>
                          <w:p w14:paraId="11C7E11C">
                            <w:pPr>
                              <w:tabs>
                                <w:tab w:val="left" w:pos="7042"/>
                              </w:tabs>
                              <w:spacing w:before="62" w:beforeLines="20" w:after="62" w:afterLines="20" w:line="540" w:lineRule="exact"/>
                              <w:ind w:firstLine="420" w:firstLineChars="200"/>
                              <w:rPr>
                                <w:rFonts w:hint="eastAsia" w:ascii="宋体" w:hAnsi="宋体"/>
                                <w:szCs w:val="21"/>
                              </w:rPr>
                            </w:pPr>
                            <w:r>
                              <w:rPr>
                                <w:rFonts w:hint="eastAsia" w:ascii="宋体" w:hAnsi="宋体"/>
                                <w:szCs w:val="21"/>
                              </w:rPr>
                              <w:t>2.工程量清单报价表中所填入的综合单价和合价，</w:t>
                            </w:r>
                            <w:r>
                              <w:rPr>
                                <w:rFonts w:hint="eastAsia" w:ascii="宋体" w:hAnsi="宋体"/>
                                <w:kern w:val="0"/>
                              </w:rPr>
                              <w:t>均包括人工费、材料费、机械费、管理费、利润</w:t>
                            </w:r>
                            <w:r>
                              <w:rPr>
                                <w:rFonts w:hint="eastAsia" w:ascii="宋体" w:hAnsi="宋体"/>
                                <w:szCs w:val="21"/>
                              </w:rPr>
                              <w:t>以及</w:t>
                            </w:r>
                            <w:r>
                              <w:rPr>
                                <w:rFonts w:hint="eastAsia" w:ascii="宋体" w:hAnsi="宋体"/>
                                <w:kern w:val="0"/>
                              </w:rPr>
                              <w:t>施工期内的风险金等全部费用。</w:t>
                            </w:r>
                          </w:p>
                          <w:p w14:paraId="3C13B634">
                            <w:pPr>
                              <w:spacing w:before="62" w:beforeLines="20" w:after="62" w:afterLines="20" w:line="540" w:lineRule="exact"/>
                              <w:ind w:firstLine="420" w:firstLineChars="200"/>
                              <w:rPr>
                                <w:rFonts w:hint="eastAsia" w:ascii="宋体" w:hAnsi="宋体"/>
                                <w:szCs w:val="21"/>
                              </w:rPr>
                            </w:pPr>
                            <w:r>
                              <w:rPr>
                                <w:rFonts w:hint="eastAsia" w:ascii="宋体" w:hAnsi="宋体"/>
                                <w:szCs w:val="21"/>
                              </w:rPr>
                              <w:t>3.措施项目报价表中所填入的措施项目报价，包括采用的各种措施的费用。</w:t>
                            </w:r>
                          </w:p>
                          <w:p w14:paraId="5B41CA39">
                            <w:pPr>
                              <w:spacing w:before="62" w:beforeLines="20" w:after="62" w:afterLines="20" w:line="540" w:lineRule="exact"/>
                              <w:ind w:firstLine="420" w:firstLineChars="200"/>
                              <w:rPr>
                                <w:rFonts w:hint="eastAsia" w:ascii="宋体" w:hAnsi="宋体"/>
                                <w:szCs w:val="21"/>
                              </w:rPr>
                            </w:pPr>
                            <w:r>
                              <w:rPr>
                                <w:rFonts w:hint="eastAsia" w:ascii="宋体" w:hAnsi="宋体"/>
                                <w:szCs w:val="21"/>
                              </w:rPr>
                              <w:t>4.其他项目报价表中所填入的其他项目报价，包括工程量清单报价表和措施项目报价表以外的，为完成本工程项目的施工所必须发生的其他费用。</w:t>
                            </w:r>
                          </w:p>
                          <w:p w14:paraId="05F7C4AD">
                            <w:pPr>
                              <w:tabs>
                                <w:tab w:val="left" w:pos="2580"/>
                              </w:tabs>
                              <w:spacing w:before="62" w:beforeLines="20" w:after="62" w:afterLines="20" w:line="540" w:lineRule="exact"/>
                              <w:ind w:firstLine="420" w:firstLineChars="200"/>
                              <w:rPr>
                                <w:rFonts w:hint="eastAsia" w:ascii="宋体" w:hAnsi="宋体"/>
                                <w:szCs w:val="21"/>
                              </w:rPr>
                            </w:pPr>
                            <w:r>
                              <w:rPr>
                                <w:rFonts w:hint="eastAsia" w:ascii="宋体" w:hAnsi="宋体"/>
                                <w:szCs w:val="21"/>
                              </w:rPr>
                              <w:t>5.本工程量清单报价表中的每一单项均应填写单价和合价，对没有填写单价和合价的项目费用，视为已包括在工程量清单的其他单价或合价之中。</w:t>
                            </w:r>
                          </w:p>
                          <w:p w14:paraId="0D40DDC5">
                            <w:pPr>
                              <w:tabs>
                                <w:tab w:val="left" w:pos="2580"/>
                              </w:tabs>
                              <w:spacing w:before="62" w:beforeLines="20" w:after="62" w:afterLines="20" w:line="540" w:lineRule="exact"/>
                              <w:ind w:firstLine="420" w:firstLineChars="200"/>
                              <w:rPr>
                                <w:rFonts w:hint="eastAsia" w:ascii="宋体" w:hAnsi="宋体"/>
                                <w:szCs w:val="21"/>
                                <w:u w:val="single"/>
                              </w:rPr>
                            </w:pPr>
                            <w:r>
                              <w:rPr>
                                <w:rFonts w:hint="eastAsia" w:ascii="宋体" w:hAnsi="宋体"/>
                                <w:szCs w:val="21"/>
                              </w:rPr>
                              <w:t>6.本报价的币种为</w:t>
                            </w:r>
                            <w:r>
                              <w:rPr>
                                <w:rFonts w:hint="eastAsia" w:ascii="宋体" w:hAnsi="宋体"/>
                                <w:szCs w:val="21"/>
                                <w:u w:val="single"/>
                              </w:rPr>
                              <w:t xml:space="preserve">        </w:t>
                            </w:r>
                            <w:r>
                              <w:rPr>
                                <w:rFonts w:hint="eastAsia" w:ascii="宋体" w:hAnsi="宋体"/>
                                <w:szCs w:val="21"/>
                              </w:rPr>
                              <w:t>。</w:t>
                            </w:r>
                          </w:p>
                        </w:txbxContent>
                      </wps:txbx>
                      <wps:bodyPr upright="1"/>
                    </wps:wsp>
                  </a:graphicData>
                </a:graphic>
              </wp:anchor>
            </w:drawing>
          </mc:Choice>
          <mc:Fallback>
            <w:pict>
              <v:shape id="_x0000_s1026" o:spid="_x0000_s1026" o:spt="202" type="#_x0000_t202" style="position:absolute;left:0pt;margin-left:-27pt;margin-top:9.3pt;height:595pt;width:472.5pt;z-index:251660288;mso-width-relative:page;mso-height-relative:page;" fillcolor="#FFFFFF" filled="t" stroked="t" coordsize="21600,21600" o:gfxdata="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Ek/wp2AAAAAsBAAAPAAAAAAAAAAEA&#10;IAAAACIAAABkcnMvZG93bnJldi54bWxQSwECFAAUAAAACACHTuJArN9inQ8CAAA3BAAADgAAAAAA&#10;AAABACAAAAAnAQAAZHJzL2Uyb0RvYy54bWxQSwUGAAAAAAYABgBZAQAAqAUAAAAA&#10;">
                <v:fill on="t" focussize="0,0"/>
                <v:stroke color="#000000" joinstyle="miter"/>
                <v:imagedata o:title=""/>
                <o:lock v:ext="edit" aspectratio="f"/>
                <v:textbox>
                  <w:txbxContent>
                    <w:p w14:paraId="61F5F962">
                      <w:pPr>
                        <w:pStyle w:val="12"/>
                        <w:pBdr>
                          <w:bottom w:val="none" w:color="auto" w:sz="0" w:space="0"/>
                        </w:pBdr>
                        <w:rPr>
                          <w:color w:val="0070C0"/>
                        </w:rPr>
                      </w:pPr>
                    </w:p>
                    <w:p w14:paraId="346D1405">
                      <w:pPr>
                        <w:rPr>
                          <w:color w:val="0070C0"/>
                        </w:rPr>
                      </w:pPr>
                    </w:p>
                    <w:p w14:paraId="57A5E17A">
                      <w:pPr>
                        <w:tabs>
                          <w:tab w:val="left" w:pos="2580"/>
                        </w:tabs>
                        <w:spacing w:before="62" w:beforeLines="20" w:after="62" w:afterLines="20" w:line="540" w:lineRule="exact"/>
                        <w:ind w:firstLine="420" w:firstLineChars="200"/>
                        <w:rPr>
                          <w:rFonts w:hint="eastAsia" w:ascii="宋体" w:hAnsi="宋体"/>
                          <w:szCs w:val="21"/>
                        </w:rPr>
                      </w:pPr>
                      <w:r>
                        <w:rPr>
                          <w:rFonts w:hint="eastAsia" w:ascii="宋体" w:hAnsi="宋体"/>
                          <w:szCs w:val="21"/>
                        </w:rPr>
                        <w:t>1.本报价依据本工程投标须知和合同文件的有关条款进行编制。</w:t>
                      </w:r>
                    </w:p>
                    <w:p w14:paraId="11C7E11C">
                      <w:pPr>
                        <w:tabs>
                          <w:tab w:val="left" w:pos="7042"/>
                        </w:tabs>
                        <w:spacing w:before="62" w:beforeLines="20" w:after="62" w:afterLines="20" w:line="540" w:lineRule="exact"/>
                        <w:ind w:firstLine="420" w:firstLineChars="200"/>
                        <w:rPr>
                          <w:rFonts w:hint="eastAsia" w:ascii="宋体" w:hAnsi="宋体"/>
                          <w:szCs w:val="21"/>
                        </w:rPr>
                      </w:pPr>
                      <w:r>
                        <w:rPr>
                          <w:rFonts w:hint="eastAsia" w:ascii="宋体" w:hAnsi="宋体"/>
                          <w:szCs w:val="21"/>
                        </w:rPr>
                        <w:t>2.工程量清单报价表中所填入的综合单价和合价，</w:t>
                      </w:r>
                      <w:r>
                        <w:rPr>
                          <w:rFonts w:hint="eastAsia" w:ascii="宋体" w:hAnsi="宋体"/>
                          <w:kern w:val="0"/>
                        </w:rPr>
                        <w:t>均包括人工费、材料费、机械费、管理费、利润</w:t>
                      </w:r>
                      <w:r>
                        <w:rPr>
                          <w:rFonts w:hint="eastAsia" w:ascii="宋体" w:hAnsi="宋体"/>
                          <w:szCs w:val="21"/>
                        </w:rPr>
                        <w:t>以及</w:t>
                      </w:r>
                      <w:r>
                        <w:rPr>
                          <w:rFonts w:hint="eastAsia" w:ascii="宋体" w:hAnsi="宋体"/>
                          <w:kern w:val="0"/>
                        </w:rPr>
                        <w:t>施工期内的风险金等全部费用。</w:t>
                      </w:r>
                    </w:p>
                    <w:p w14:paraId="3C13B634">
                      <w:pPr>
                        <w:spacing w:before="62" w:beforeLines="20" w:after="62" w:afterLines="20" w:line="540" w:lineRule="exact"/>
                        <w:ind w:firstLine="420" w:firstLineChars="200"/>
                        <w:rPr>
                          <w:rFonts w:hint="eastAsia" w:ascii="宋体" w:hAnsi="宋体"/>
                          <w:szCs w:val="21"/>
                        </w:rPr>
                      </w:pPr>
                      <w:r>
                        <w:rPr>
                          <w:rFonts w:hint="eastAsia" w:ascii="宋体" w:hAnsi="宋体"/>
                          <w:szCs w:val="21"/>
                        </w:rPr>
                        <w:t>3.措施项目报价表中所填入的措施项目报价，包括采用的各种措施的费用。</w:t>
                      </w:r>
                    </w:p>
                    <w:p w14:paraId="5B41CA39">
                      <w:pPr>
                        <w:spacing w:before="62" w:beforeLines="20" w:after="62" w:afterLines="20" w:line="540" w:lineRule="exact"/>
                        <w:ind w:firstLine="420" w:firstLineChars="200"/>
                        <w:rPr>
                          <w:rFonts w:hint="eastAsia" w:ascii="宋体" w:hAnsi="宋体"/>
                          <w:szCs w:val="21"/>
                        </w:rPr>
                      </w:pPr>
                      <w:r>
                        <w:rPr>
                          <w:rFonts w:hint="eastAsia" w:ascii="宋体" w:hAnsi="宋体"/>
                          <w:szCs w:val="21"/>
                        </w:rPr>
                        <w:t>4.其他项目报价表中所填入的其他项目报价，包括工程量清单报价表和措施项目报价表以外的，为完成本工程项目的施工所必须发生的其他费用。</w:t>
                      </w:r>
                    </w:p>
                    <w:p w14:paraId="05F7C4AD">
                      <w:pPr>
                        <w:tabs>
                          <w:tab w:val="left" w:pos="2580"/>
                        </w:tabs>
                        <w:spacing w:before="62" w:beforeLines="20" w:after="62" w:afterLines="20" w:line="540" w:lineRule="exact"/>
                        <w:ind w:firstLine="420" w:firstLineChars="200"/>
                        <w:rPr>
                          <w:rFonts w:hint="eastAsia" w:ascii="宋体" w:hAnsi="宋体"/>
                          <w:szCs w:val="21"/>
                        </w:rPr>
                      </w:pPr>
                      <w:r>
                        <w:rPr>
                          <w:rFonts w:hint="eastAsia" w:ascii="宋体" w:hAnsi="宋体"/>
                          <w:szCs w:val="21"/>
                        </w:rPr>
                        <w:t>5.本工程量清单报价表中的每一单项均应填写单价和合价，对没有填写单价和合价的项目费用，视为已包括在工程量清单的其他单价或合价之中。</w:t>
                      </w:r>
                    </w:p>
                    <w:p w14:paraId="0D40DDC5">
                      <w:pPr>
                        <w:tabs>
                          <w:tab w:val="left" w:pos="2580"/>
                        </w:tabs>
                        <w:spacing w:before="62" w:beforeLines="20" w:after="62" w:afterLines="20" w:line="540" w:lineRule="exact"/>
                        <w:ind w:firstLine="420" w:firstLineChars="200"/>
                        <w:rPr>
                          <w:rFonts w:hint="eastAsia" w:ascii="宋体" w:hAnsi="宋体"/>
                          <w:szCs w:val="21"/>
                          <w:u w:val="single"/>
                        </w:rPr>
                      </w:pPr>
                      <w:r>
                        <w:rPr>
                          <w:rFonts w:hint="eastAsia" w:ascii="宋体" w:hAnsi="宋体"/>
                          <w:szCs w:val="21"/>
                        </w:rPr>
                        <w:t>6.本报价的币种为</w:t>
                      </w:r>
                      <w:r>
                        <w:rPr>
                          <w:rFonts w:hint="eastAsia" w:ascii="宋体" w:hAnsi="宋体"/>
                          <w:szCs w:val="21"/>
                          <w:u w:val="single"/>
                        </w:rPr>
                        <w:t xml:space="preserve">        </w:t>
                      </w:r>
                      <w:r>
                        <w:rPr>
                          <w:rFonts w:hint="eastAsia" w:ascii="宋体" w:hAnsi="宋体"/>
                          <w:szCs w:val="21"/>
                        </w:rPr>
                        <w:t>。</w:t>
                      </w:r>
                    </w:p>
                  </w:txbxContent>
                </v:textbox>
              </v:shape>
            </w:pict>
          </mc:Fallback>
        </mc:AlternateContent>
      </w:r>
    </w:p>
    <w:p w14:paraId="750E4D22">
      <w:pPr>
        <w:jc w:val="center"/>
        <w:rPr>
          <w:sz w:val="24"/>
          <w:szCs w:val="24"/>
        </w:rPr>
      </w:pPr>
    </w:p>
    <w:p w14:paraId="40B20C3C">
      <w:pPr>
        <w:jc w:val="center"/>
        <w:rPr>
          <w:sz w:val="24"/>
          <w:szCs w:val="24"/>
        </w:rPr>
      </w:pPr>
    </w:p>
    <w:p w14:paraId="098C2F72">
      <w:pPr>
        <w:jc w:val="center"/>
        <w:rPr>
          <w:sz w:val="24"/>
          <w:szCs w:val="24"/>
        </w:rPr>
      </w:pPr>
    </w:p>
    <w:p w14:paraId="6204CD21">
      <w:pPr>
        <w:jc w:val="center"/>
        <w:rPr>
          <w:sz w:val="24"/>
          <w:szCs w:val="24"/>
        </w:rPr>
      </w:pPr>
    </w:p>
    <w:p w14:paraId="6D3E44FA">
      <w:pPr>
        <w:jc w:val="center"/>
        <w:rPr>
          <w:sz w:val="24"/>
          <w:szCs w:val="24"/>
        </w:rPr>
      </w:pPr>
    </w:p>
    <w:p w14:paraId="08E90A6F">
      <w:pPr>
        <w:jc w:val="center"/>
        <w:rPr>
          <w:sz w:val="24"/>
          <w:szCs w:val="24"/>
        </w:rPr>
      </w:pPr>
    </w:p>
    <w:p w14:paraId="6F41EF1B">
      <w:pPr>
        <w:jc w:val="center"/>
        <w:rPr>
          <w:sz w:val="24"/>
          <w:szCs w:val="24"/>
        </w:rPr>
      </w:pPr>
    </w:p>
    <w:p w14:paraId="4F7ED425">
      <w:pPr>
        <w:jc w:val="center"/>
        <w:rPr>
          <w:sz w:val="24"/>
          <w:szCs w:val="24"/>
        </w:rPr>
      </w:pPr>
    </w:p>
    <w:p w14:paraId="4F9D7AAA">
      <w:pPr>
        <w:jc w:val="center"/>
        <w:rPr>
          <w:sz w:val="24"/>
          <w:szCs w:val="24"/>
        </w:rPr>
      </w:pPr>
    </w:p>
    <w:p w14:paraId="6777A2D3">
      <w:pPr>
        <w:jc w:val="center"/>
        <w:rPr>
          <w:sz w:val="24"/>
          <w:szCs w:val="24"/>
        </w:rPr>
      </w:pPr>
    </w:p>
    <w:p w14:paraId="73AE5509">
      <w:pPr>
        <w:jc w:val="center"/>
        <w:rPr>
          <w:sz w:val="24"/>
          <w:szCs w:val="24"/>
        </w:rPr>
      </w:pPr>
    </w:p>
    <w:p w14:paraId="0201390D">
      <w:pPr>
        <w:jc w:val="center"/>
        <w:rPr>
          <w:sz w:val="24"/>
          <w:szCs w:val="24"/>
        </w:rPr>
      </w:pPr>
    </w:p>
    <w:p w14:paraId="03F66817">
      <w:pPr>
        <w:jc w:val="center"/>
        <w:rPr>
          <w:sz w:val="24"/>
          <w:szCs w:val="24"/>
        </w:rPr>
      </w:pPr>
    </w:p>
    <w:p w14:paraId="1F03EEF6">
      <w:pPr>
        <w:jc w:val="center"/>
        <w:rPr>
          <w:sz w:val="24"/>
          <w:szCs w:val="24"/>
        </w:rPr>
      </w:pPr>
    </w:p>
    <w:p w14:paraId="74F30B1A">
      <w:pPr>
        <w:jc w:val="center"/>
        <w:rPr>
          <w:sz w:val="24"/>
          <w:szCs w:val="24"/>
        </w:rPr>
      </w:pPr>
    </w:p>
    <w:p w14:paraId="2AFDDACC">
      <w:pPr>
        <w:jc w:val="center"/>
        <w:rPr>
          <w:sz w:val="24"/>
          <w:szCs w:val="24"/>
        </w:rPr>
      </w:pPr>
    </w:p>
    <w:p w14:paraId="67BF8705">
      <w:pPr>
        <w:jc w:val="center"/>
        <w:rPr>
          <w:sz w:val="24"/>
          <w:szCs w:val="24"/>
        </w:rPr>
      </w:pPr>
    </w:p>
    <w:p w14:paraId="39ABAC86">
      <w:pPr>
        <w:jc w:val="center"/>
        <w:rPr>
          <w:sz w:val="24"/>
          <w:szCs w:val="24"/>
        </w:rPr>
      </w:pPr>
    </w:p>
    <w:p w14:paraId="0A066521">
      <w:pPr>
        <w:jc w:val="center"/>
        <w:rPr>
          <w:sz w:val="24"/>
          <w:szCs w:val="24"/>
        </w:rPr>
      </w:pPr>
    </w:p>
    <w:p w14:paraId="32624B4D">
      <w:pPr>
        <w:jc w:val="center"/>
        <w:rPr>
          <w:sz w:val="24"/>
          <w:szCs w:val="24"/>
        </w:rPr>
      </w:pPr>
    </w:p>
    <w:p w14:paraId="7FEF982B">
      <w:pPr>
        <w:jc w:val="center"/>
        <w:rPr>
          <w:sz w:val="24"/>
          <w:szCs w:val="24"/>
        </w:rPr>
      </w:pPr>
    </w:p>
    <w:p w14:paraId="25ADA99A">
      <w:pPr>
        <w:jc w:val="center"/>
        <w:rPr>
          <w:sz w:val="24"/>
          <w:szCs w:val="24"/>
        </w:rPr>
      </w:pPr>
    </w:p>
    <w:p w14:paraId="125035B7">
      <w:pPr>
        <w:jc w:val="center"/>
        <w:rPr>
          <w:sz w:val="24"/>
          <w:szCs w:val="24"/>
        </w:rPr>
      </w:pPr>
    </w:p>
    <w:p w14:paraId="2A296CDF">
      <w:pPr>
        <w:jc w:val="center"/>
        <w:rPr>
          <w:sz w:val="24"/>
          <w:szCs w:val="24"/>
        </w:rPr>
      </w:pPr>
    </w:p>
    <w:p w14:paraId="1242741E">
      <w:pPr>
        <w:jc w:val="center"/>
        <w:rPr>
          <w:sz w:val="24"/>
          <w:szCs w:val="24"/>
        </w:rPr>
      </w:pPr>
    </w:p>
    <w:p w14:paraId="1A6D52DB">
      <w:pPr>
        <w:jc w:val="center"/>
        <w:rPr>
          <w:sz w:val="24"/>
          <w:szCs w:val="24"/>
        </w:rPr>
      </w:pPr>
    </w:p>
    <w:p w14:paraId="6F10589F">
      <w:pPr>
        <w:jc w:val="center"/>
        <w:rPr>
          <w:sz w:val="24"/>
          <w:szCs w:val="24"/>
        </w:rPr>
      </w:pPr>
    </w:p>
    <w:p w14:paraId="6124CD63">
      <w:pPr>
        <w:jc w:val="center"/>
        <w:rPr>
          <w:sz w:val="24"/>
          <w:szCs w:val="24"/>
        </w:rPr>
      </w:pPr>
    </w:p>
    <w:p w14:paraId="5BE83218">
      <w:pPr>
        <w:jc w:val="center"/>
        <w:rPr>
          <w:sz w:val="24"/>
          <w:szCs w:val="24"/>
        </w:rPr>
      </w:pPr>
    </w:p>
    <w:p w14:paraId="75D6A878">
      <w:pPr>
        <w:jc w:val="center"/>
        <w:rPr>
          <w:sz w:val="24"/>
          <w:szCs w:val="24"/>
        </w:rPr>
      </w:pPr>
    </w:p>
    <w:p w14:paraId="4709F70F">
      <w:pPr>
        <w:jc w:val="center"/>
        <w:rPr>
          <w:sz w:val="24"/>
          <w:szCs w:val="24"/>
        </w:rPr>
      </w:pPr>
    </w:p>
    <w:p w14:paraId="6457D0D7">
      <w:pPr>
        <w:jc w:val="center"/>
        <w:rPr>
          <w:sz w:val="24"/>
          <w:szCs w:val="24"/>
        </w:rPr>
      </w:pPr>
    </w:p>
    <w:p w14:paraId="17F3B282">
      <w:pPr>
        <w:jc w:val="center"/>
        <w:rPr>
          <w:sz w:val="24"/>
          <w:szCs w:val="24"/>
        </w:rPr>
      </w:pPr>
    </w:p>
    <w:p w14:paraId="7B13D600">
      <w:pPr>
        <w:jc w:val="center"/>
        <w:rPr>
          <w:sz w:val="24"/>
          <w:szCs w:val="24"/>
        </w:rPr>
      </w:pPr>
    </w:p>
    <w:p w14:paraId="4305C7B8">
      <w:pPr>
        <w:jc w:val="center"/>
        <w:rPr>
          <w:sz w:val="24"/>
          <w:szCs w:val="24"/>
        </w:rPr>
      </w:pPr>
    </w:p>
    <w:p w14:paraId="4FCBB24A">
      <w:pPr>
        <w:jc w:val="center"/>
        <w:rPr>
          <w:sz w:val="24"/>
          <w:szCs w:val="24"/>
        </w:rPr>
      </w:pPr>
    </w:p>
    <w:p w14:paraId="54838F8E">
      <w:pPr>
        <w:jc w:val="center"/>
        <w:rPr>
          <w:sz w:val="24"/>
          <w:szCs w:val="24"/>
        </w:rPr>
      </w:pPr>
    </w:p>
    <w:p w14:paraId="56273026">
      <w:pPr>
        <w:jc w:val="center"/>
        <w:rPr>
          <w:sz w:val="24"/>
          <w:szCs w:val="24"/>
        </w:rPr>
      </w:pPr>
    </w:p>
    <w:p w14:paraId="386EFB6B">
      <w:pPr>
        <w:pStyle w:val="4"/>
        <w:rPr>
          <w:rFonts w:hint="eastAsia"/>
        </w:rPr>
      </w:pPr>
    </w:p>
    <w:p w14:paraId="14B01B01">
      <w:pPr>
        <w:pStyle w:val="4"/>
        <w:ind w:firstLine="640" w:firstLineChars="200"/>
        <w:rPr>
          <w:rFonts w:hint="eastAsia"/>
          <w:highlight w:val="yellow"/>
        </w:rPr>
      </w:pPr>
      <w:r>
        <w:rPr>
          <w:rFonts w:hint="eastAsia"/>
          <w:highlight w:val="yellow"/>
        </w:rPr>
        <w:t>工程量清单报价书格式根据附件《工程量清单》填报除税单价。</w:t>
      </w:r>
    </w:p>
    <w:p w14:paraId="4308B4C1">
      <w:pPr>
        <w:pStyle w:val="4"/>
        <w:rPr>
          <w:rFonts w:hint="eastAsia"/>
        </w:rPr>
      </w:pPr>
    </w:p>
    <w:sectPr>
      <w:headerReference r:id="rId10" w:type="default"/>
      <w:footerReference r:id="rId11"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akuyoxingshu7000">
    <w:altName w:val="宋体"/>
    <w:panose1 w:val="00000000000000000000"/>
    <w:charset w:val="86"/>
    <w:family w:val="auto"/>
    <w:pitch w:val="default"/>
    <w:sig w:usb0="00000000" w:usb1="00000000" w:usb2="0000003F" w:usb3="00000000" w:csb0="603F00FF" w:csb1="FFFF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ÎSå">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3E017">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AB2C5">
                          <w:pPr>
                            <w:pStyle w:val="11"/>
                            <w:jc w:val="center"/>
                          </w:pPr>
                          <w:r>
                            <w:fldChar w:fldCharType="begin"/>
                          </w:r>
                          <w:r>
                            <w:instrText xml:space="preserve"> PAGE   \* MERGEFORMAT </w:instrText>
                          </w:r>
                          <w:r>
                            <w:fldChar w:fldCharType="separate"/>
                          </w:r>
                          <w:r>
                            <w:rPr>
                              <w:lang w:val="zh-CN"/>
                            </w:rPr>
                            <w:t>87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24AB2C5">
                    <w:pPr>
                      <w:pStyle w:val="11"/>
                      <w:jc w:val="center"/>
                    </w:pPr>
                    <w:r>
                      <w:fldChar w:fldCharType="begin"/>
                    </w:r>
                    <w:r>
                      <w:instrText xml:space="preserve"> PAGE   \* MERGEFORMAT </w:instrText>
                    </w:r>
                    <w:r>
                      <w:fldChar w:fldCharType="separate"/>
                    </w:r>
                    <w:r>
                      <w:rPr>
                        <w:lang w:val="zh-CN"/>
                      </w:rPr>
                      <w:t>87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A8965">
    <w:pPr>
      <w:pStyle w:val="11"/>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0880E">
    <w:pPr>
      <w:pStyle w:val="11"/>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C680E">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40C680E">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A7B79">
    <w:pPr>
      <w:pStyle w:val="11"/>
      <w:ind w:right="36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7</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7</w:t>
    </w:r>
    <w:r>
      <w:rPr>
        <w:szCs w:val="21"/>
      </w:rPr>
      <w:fldChar w:fldCharType="end"/>
    </w:r>
    <w:r>
      <w:rPr>
        <w:rFonts w:hint="eastAsia"/>
        <w:szCs w:val="21"/>
      </w:rPr>
      <w:t xml:space="preserve"> 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22555">
    <w:pPr>
      <w:pStyle w:val="11"/>
      <w:framePr w:wrap="around" w:vAnchor="text" w:hAnchor="margin" w:xAlign="center" w:y="1"/>
      <w:rPr>
        <w:rStyle w:val="20"/>
      </w:rPr>
    </w:pPr>
    <w:r>
      <w:fldChar w:fldCharType="begin"/>
    </w:r>
    <w:r>
      <w:rPr>
        <w:rStyle w:val="20"/>
        <w:highlight w:val="white"/>
      </w:rPr>
      <w:instrText xml:space="preserve">PAGE  </w:instrText>
    </w:r>
    <w:r>
      <w:fldChar w:fldCharType="separate"/>
    </w:r>
    <w:r>
      <w:rPr>
        <w:rStyle w:val="20"/>
        <w:highlight w:val="white"/>
      </w:rPr>
      <w:t>1</w:t>
    </w:r>
    <w:r>
      <w:fldChar w:fldCharType="end"/>
    </w:r>
  </w:p>
  <w:p w14:paraId="43BED9B6">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1E1B">
    <w:pPr>
      <w:pStyle w:val="11"/>
      <w:ind w:right="36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7</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7</w:t>
    </w:r>
    <w:r>
      <w:rPr>
        <w:szCs w:val="21"/>
      </w:rPr>
      <w:fldChar w:fldCharType="end"/>
    </w:r>
    <w:r>
      <w:rPr>
        <w:rFonts w:hint="eastAsia"/>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C484E">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FAFE8">
    <w:pPr>
      <w:pStyle w:val="12"/>
      <w:framePr w:wrap="around" w:vAnchor="text" w:hAnchor="margin" w:xAlign="right" w:y="1"/>
      <w:rPr>
        <w:rStyle w:val="20"/>
      </w:rPr>
    </w:pPr>
    <w:r>
      <w:fldChar w:fldCharType="begin"/>
    </w:r>
    <w:r>
      <w:rPr>
        <w:rStyle w:val="20"/>
        <w:highlight w:val="white"/>
      </w:rPr>
      <w:instrText xml:space="preserve">PAGE  </w:instrText>
    </w:r>
    <w:r>
      <w:fldChar w:fldCharType="separate"/>
    </w:r>
    <w:r>
      <w:fldChar w:fldCharType="end"/>
    </w:r>
  </w:p>
  <w:p w14:paraId="679C0F7A">
    <w:pPr>
      <w:pStyle w:val="12"/>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01780">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B27BF"/>
    <w:multiLevelType w:val="singleLevel"/>
    <w:tmpl w:val="A8EB27BF"/>
    <w:lvl w:ilvl="0" w:tentative="0">
      <w:start w:val="2"/>
      <w:numFmt w:val="decimal"/>
      <w:lvlText w:val="%1."/>
      <w:lvlJc w:val="left"/>
      <w:pPr>
        <w:tabs>
          <w:tab w:val="left" w:pos="312"/>
        </w:tabs>
      </w:pPr>
      <w:rPr>
        <w:rFonts w:hint="default"/>
        <w:b/>
        <w:bCs/>
        <w:color w:val="FF0000"/>
      </w:rPr>
    </w:lvl>
  </w:abstractNum>
  <w:abstractNum w:abstractNumId="1">
    <w:nsid w:val="2CA0A4F8"/>
    <w:multiLevelType w:val="singleLevel"/>
    <w:tmpl w:val="2CA0A4F8"/>
    <w:lvl w:ilvl="0" w:tentative="0">
      <w:start w:val="1"/>
      <w:numFmt w:val="decimal"/>
      <w:suff w:val="nothing"/>
      <w:lvlText w:val="（%1）"/>
      <w:lvlJc w:val="left"/>
    </w:lvl>
  </w:abstractNum>
  <w:abstractNum w:abstractNumId="2">
    <w:nsid w:val="3E475DFF"/>
    <w:multiLevelType w:val="singleLevel"/>
    <w:tmpl w:val="3E475DFF"/>
    <w:lvl w:ilvl="0" w:tentative="0">
      <w:start w:val="7"/>
      <w:numFmt w:val="decimal"/>
      <w:suff w:val="nothing"/>
      <w:lvlText w:val="（%1）"/>
      <w:lvlJc w:val="left"/>
    </w:lvl>
  </w:abstractNum>
  <w:abstractNum w:abstractNumId="3">
    <w:nsid w:val="438F01B9"/>
    <w:multiLevelType w:val="singleLevel"/>
    <w:tmpl w:val="438F01B9"/>
    <w:lvl w:ilvl="0" w:tentative="0">
      <w:start w:val="1"/>
      <w:numFmt w:val="decimal"/>
      <w:suff w:val="nothing"/>
      <w:lvlText w:val="（%1）"/>
      <w:lvlJc w:val="left"/>
    </w:lvl>
  </w:abstractNum>
  <w:abstractNum w:abstractNumId="4">
    <w:nsid w:val="4F9E684C"/>
    <w:multiLevelType w:val="singleLevel"/>
    <w:tmpl w:val="4F9E684C"/>
    <w:lvl w:ilvl="0" w:tentative="0">
      <w:start w:val="26"/>
      <w:numFmt w:val="decimal"/>
      <w:suff w:val="nothing"/>
      <w:lvlText w:val="（%1）"/>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70DE7"/>
    <w:rsid w:val="003833E0"/>
    <w:rsid w:val="00455C79"/>
    <w:rsid w:val="00490CBE"/>
    <w:rsid w:val="00772313"/>
    <w:rsid w:val="009C1F06"/>
    <w:rsid w:val="00AB306C"/>
    <w:rsid w:val="00E845CC"/>
    <w:rsid w:val="01FA709E"/>
    <w:rsid w:val="021D19D1"/>
    <w:rsid w:val="02FE661E"/>
    <w:rsid w:val="04C55066"/>
    <w:rsid w:val="05195202"/>
    <w:rsid w:val="058849FC"/>
    <w:rsid w:val="061A18AB"/>
    <w:rsid w:val="061B6C21"/>
    <w:rsid w:val="079E0C7A"/>
    <w:rsid w:val="09812060"/>
    <w:rsid w:val="0A4A1E42"/>
    <w:rsid w:val="0A5D1DCF"/>
    <w:rsid w:val="0C916D63"/>
    <w:rsid w:val="0CB23E8A"/>
    <w:rsid w:val="0F381632"/>
    <w:rsid w:val="101747CE"/>
    <w:rsid w:val="10293DA2"/>
    <w:rsid w:val="11375F1E"/>
    <w:rsid w:val="122C7A28"/>
    <w:rsid w:val="140A69DD"/>
    <w:rsid w:val="141D437D"/>
    <w:rsid w:val="14673F63"/>
    <w:rsid w:val="149A59CD"/>
    <w:rsid w:val="15770DE7"/>
    <w:rsid w:val="157F76FF"/>
    <w:rsid w:val="15EA587D"/>
    <w:rsid w:val="17CB3888"/>
    <w:rsid w:val="180A4A1F"/>
    <w:rsid w:val="18D04606"/>
    <w:rsid w:val="1AA90B2A"/>
    <w:rsid w:val="1AB15892"/>
    <w:rsid w:val="1AB86614"/>
    <w:rsid w:val="1B074DD8"/>
    <w:rsid w:val="1BBA3225"/>
    <w:rsid w:val="1BDA3640"/>
    <w:rsid w:val="1CC758CF"/>
    <w:rsid w:val="205C4152"/>
    <w:rsid w:val="22ED07D6"/>
    <w:rsid w:val="243B49C4"/>
    <w:rsid w:val="247D6A7B"/>
    <w:rsid w:val="258C1354"/>
    <w:rsid w:val="26042755"/>
    <w:rsid w:val="26417EAD"/>
    <w:rsid w:val="286F2AFB"/>
    <w:rsid w:val="28BE1820"/>
    <w:rsid w:val="2926300F"/>
    <w:rsid w:val="295D104C"/>
    <w:rsid w:val="29F62A0B"/>
    <w:rsid w:val="2ACE1DAF"/>
    <w:rsid w:val="2C070CDC"/>
    <w:rsid w:val="2C191D45"/>
    <w:rsid w:val="2CBC493D"/>
    <w:rsid w:val="2DCE2FE3"/>
    <w:rsid w:val="2F0022E8"/>
    <w:rsid w:val="2F675518"/>
    <w:rsid w:val="2FDE290A"/>
    <w:rsid w:val="30200D85"/>
    <w:rsid w:val="308C5ED2"/>
    <w:rsid w:val="30ED1E43"/>
    <w:rsid w:val="3167182A"/>
    <w:rsid w:val="32E3596E"/>
    <w:rsid w:val="333339FA"/>
    <w:rsid w:val="35094E32"/>
    <w:rsid w:val="35195E60"/>
    <w:rsid w:val="353006CB"/>
    <w:rsid w:val="360026E0"/>
    <w:rsid w:val="36AA0C8D"/>
    <w:rsid w:val="36FA4399"/>
    <w:rsid w:val="37BF1E74"/>
    <w:rsid w:val="38070DDC"/>
    <w:rsid w:val="38C42E95"/>
    <w:rsid w:val="39517B90"/>
    <w:rsid w:val="39904662"/>
    <w:rsid w:val="3ACF6B8D"/>
    <w:rsid w:val="3B660AAA"/>
    <w:rsid w:val="3D4C14B1"/>
    <w:rsid w:val="3D625920"/>
    <w:rsid w:val="3D9325B9"/>
    <w:rsid w:val="3DDC5F25"/>
    <w:rsid w:val="3E263722"/>
    <w:rsid w:val="3F7F5DD8"/>
    <w:rsid w:val="42A83DDC"/>
    <w:rsid w:val="42D9753D"/>
    <w:rsid w:val="44035013"/>
    <w:rsid w:val="461C1B35"/>
    <w:rsid w:val="46986742"/>
    <w:rsid w:val="46D6487E"/>
    <w:rsid w:val="47BC6F92"/>
    <w:rsid w:val="4A1E222C"/>
    <w:rsid w:val="4CC74261"/>
    <w:rsid w:val="4E5531B6"/>
    <w:rsid w:val="4E921EB4"/>
    <w:rsid w:val="4FF7115F"/>
    <w:rsid w:val="507A2A07"/>
    <w:rsid w:val="50C21770"/>
    <w:rsid w:val="55F361AA"/>
    <w:rsid w:val="576D3F91"/>
    <w:rsid w:val="58AC49D2"/>
    <w:rsid w:val="59A23D9F"/>
    <w:rsid w:val="5BBA7070"/>
    <w:rsid w:val="5C182A2D"/>
    <w:rsid w:val="5F2234B3"/>
    <w:rsid w:val="5F5E7BDD"/>
    <w:rsid w:val="602C00E8"/>
    <w:rsid w:val="60370A96"/>
    <w:rsid w:val="60F5637E"/>
    <w:rsid w:val="61002126"/>
    <w:rsid w:val="61E21CE7"/>
    <w:rsid w:val="61F54051"/>
    <w:rsid w:val="623B1A6D"/>
    <w:rsid w:val="63BB6FB6"/>
    <w:rsid w:val="641710C6"/>
    <w:rsid w:val="64C97FB9"/>
    <w:rsid w:val="683C7F94"/>
    <w:rsid w:val="68BD36DD"/>
    <w:rsid w:val="68D62257"/>
    <w:rsid w:val="693478CC"/>
    <w:rsid w:val="69804DEE"/>
    <w:rsid w:val="69EC5F59"/>
    <w:rsid w:val="6B0E03D6"/>
    <w:rsid w:val="6B80741B"/>
    <w:rsid w:val="6C622F51"/>
    <w:rsid w:val="6C6B5930"/>
    <w:rsid w:val="6CD82B3A"/>
    <w:rsid w:val="6CF3368B"/>
    <w:rsid w:val="6D4521E2"/>
    <w:rsid w:val="6DB53B8B"/>
    <w:rsid w:val="6EAF6492"/>
    <w:rsid w:val="6F975761"/>
    <w:rsid w:val="718F4A08"/>
    <w:rsid w:val="7408690D"/>
    <w:rsid w:val="74D238B7"/>
    <w:rsid w:val="77476828"/>
    <w:rsid w:val="77864AAC"/>
    <w:rsid w:val="77955CE0"/>
    <w:rsid w:val="78671D95"/>
    <w:rsid w:val="78DA1EEB"/>
    <w:rsid w:val="791B0E1B"/>
    <w:rsid w:val="79BF0534"/>
    <w:rsid w:val="79EB7C81"/>
    <w:rsid w:val="7A416315"/>
    <w:rsid w:val="7C2A2558"/>
    <w:rsid w:val="7C5807CC"/>
    <w:rsid w:val="7C5B7DFD"/>
    <w:rsid w:val="7ECD6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0"/>
    <w:pPr>
      <w:keepNext/>
      <w:keepLines/>
      <w:spacing w:before="120" w:after="120" w:line="480" w:lineRule="auto"/>
      <w:jc w:val="center"/>
      <w:outlineLvl w:val="0"/>
    </w:pPr>
    <w:rPr>
      <w:rFonts w:eastAsia="黑体"/>
      <w:b/>
      <w:bCs/>
      <w:color w:val="000000"/>
      <w:kern w:val="44"/>
      <w:sz w:val="44"/>
      <w:szCs w:val="42"/>
      <w:lang w:val="zh-CN"/>
    </w:rPr>
  </w:style>
  <w:style w:type="paragraph" w:styleId="3">
    <w:name w:val="heading 2"/>
    <w:basedOn w:val="1"/>
    <w:qFormat/>
    <w:uiPriority w:val="9"/>
    <w:pPr>
      <w:keepNext/>
      <w:keepLines/>
      <w:snapToGrid w:val="0"/>
      <w:spacing w:before="260" w:after="260" w:line="415" w:lineRule="auto"/>
      <w:outlineLvl w:val="1"/>
    </w:pPr>
    <w:rPr>
      <w:rFonts w:ascii="Cambria" w:hAnsi="Cambria"/>
      <w:b/>
      <w:bCs/>
      <w:kern w:val="0"/>
      <w:sz w:val="32"/>
      <w:szCs w:val="32"/>
    </w:rPr>
  </w:style>
  <w:style w:type="paragraph" w:styleId="4">
    <w:name w:val="heading 3"/>
    <w:basedOn w:val="1"/>
    <w:next w:val="1"/>
    <w:link w:val="26"/>
    <w:qFormat/>
    <w:uiPriority w:val="0"/>
    <w:pPr>
      <w:keepNext/>
      <w:keepLines/>
      <w:spacing w:before="120" w:after="120" w:line="360" w:lineRule="auto"/>
      <w:outlineLvl w:val="2"/>
    </w:pPr>
    <w:rPr>
      <w:rFonts w:ascii="黑体" w:hAnsi="黑体" w:eastAsia="黑体"/>
      <w:kern w:val="0"/>
      <w:sz w:val="32"/>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kern w:val="0"/>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kern w:val="0"/>
      <w:sz w:val="20"/>
      <w:szCs w:val="24"/>
    </w:rPr>
  </w:style>
  <w:style w:type="paragraph" w:styleId="7">
    <w:name w:val="Body Text"/>
    <w:basedOn w:val="1"/>
    <w:qFormat/>
    <w:uiPriority w:val="0"/>
    <w:pPr>
      <w:spacing w:after="120"/>
      <w:jc w:val="left"/>
    </w:pPr>
    <w:rPr>
      <w:rFonts w:ascii="hakuyoxingshu7000" w:hAnsi="hakuyoxingshu7000" w:eastAsia="hakuyoxingshu7000"/>
      <w:color w:val="000000"/>
      <w:kern w:val="0"/>
      <w:sz w:val="24"/>
      <w:szCs w:val="24"/>
      <w:lang w:val="zh-CN"/>
    </w:rPr>
  </w:style>
  <w:style w:type="paragraph" w:styleId="8">
    <w:name w:val="Body Text Indent"/>
    <w:basedOn w:val="1"/>
    <w:qFormat/>
    <w:uiPriority w:val="0"/>
    <w:pPr>
      <w:spacing w:after="120"/>
      <w:ind w:left="420" w:leftChars="200"/>
    </w:p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rPr>
  </w:style>
  <w:style w:type="paragraph" w:styleId="11">
    <w:name w:val="footer"/>
    <w:basedOn w:val="1"/>
    <w:unhideWhenUsed/>
    <w:qFormat/>
    <w:uiPriority w:val="99"/>
    <w:pPr>
      <w:tabs>
        <w:tab w:val="center" w:pos="4153"/>
        <w:tab w:val="right" w:pos="8306"/>
      </w:tabs>
      <w:snapToGrid w:val="0"/>
      <w:jc w:val="left"/>
    </w:pPr>
    <w:rPr>
      <w:kern w:val="0"/>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3">
    <w:name w:val="toc 1"/>
    <w:basedOn w:val="1"/>
    <w:next w:val="1"/>
    <w:unhideWhenUsed/>
    <w:qFormat/>
    <w:uiPriority w:val="39"/>
    <w:pPr>
      <w:tabs>
        <w:tab w:val="right" w:leader="dot" w:pos="8296"/>
      </w:tabs>
      <w:spacing w:before="120" w:after="120"/>
      <w:jc w:val="center"/>
    </w:pPr>
    <w:rPr>
      <w:rFonts w:cs="Calibri"/>
      <w:b/>
      <w:bCs/>
      <w:caps/>
      <w:kern w:val="0"/>
      <w:sz w:val="28"/>
      <w:szCs w:val="28"/>
      <w:shd w:val="clear" w:color="auto" w:fill="FFFFFF"/>
    </w:rPr>
  </w:style>
  <w:style w:type="paragraph" w:styleId="14">
    <w:name w:val="toc 2"/>
    <w:basedOn w:val="1"/>
    <w:next w:val="1"/>
    <w:qFormat/>
    <w:uiPriority w:val="39"/>
    <w:pPr>
      <w:ind w:left="210"/>
      <w:jc w:val="left"/>
    </w:pPr>
    <w:rPr>
      <w:smallCaps/>
      <w:sz w:val="20"/>
      <w:szCs w:val="20"/>
    </w:rPr>
  </w:style>
  <w:style w:type="paragraph" w:styleId="15">
    <w:name w:val="Normal (Web)"/>
    <w:basedOn w:val="1"/>
    <w:qFormat/>
    <w:uiPriority w:val="0"/>
    <w:pPr>
      <w:widowControl/>
      <w:spacing w:before="100" w:beforeAutospacing="1" w:after="100" w:afterAutospacing="1"/>
      <w:jc w:val="left"/>
    </w:pPr>
    <w:rPr>
      <w:rFonts w:ascii="宋体" w:hAnsi="宋体"/>
      <w:kern w:val="0"/>
      <w:sz w:val="24"/>
    </w:rPr>
  </w:style>
  <w:style w:type="paragraph" w:styleId="16">
    <w:name w:val="Body Text First Indent 2"/>
    <w:basedOn w:val="8"/>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rPr>
      <w:rFonts w:cs="Times New Roman"/>
    </w:rPr>
  </w:style>
  <w:style w:type="paragraph" w:customStyle="1" w:styleId="21">
    <w:name w:val="标题 #5"/>
    <w:basedOn w:val="1"/>
    <w:link w:val="28"/>
    <w:qFormat/>
    <w:uiPriority w:val="99"/>
    <w:pPr>
      <w:shd w:val="clear" w:color="auto" w:fill="FFFFFF"/>
      <w:spacing w:after="540" w:line="607" w:lineRule="exact"/>
      <w:jc w:val="center"/>
      <w:outlineLvl w:val="4"/>
    </w:pPr>
    <w:rPr>
      <w:rFonts w:ascii="MingLiU" w:eastAsia="MingLiU"/>
      <w:b/>
      <w:bCs/>
      <w:kern w:val="0"/>
      <w:sz w:val="28"/>
      <w:szCs w:val="28"/>
    </w:rPr>
  </w:style>
  <w:style w:type="paragraph" w:customStyle="1" w:styleId="22">
    <w:name w:val="MsoNormal"/>
    <w:basedOn w:val="23"/>
    <w:qFormat/>
    <w:uiPriority w:val="0"/>
  </w:style>
  <w:style w:type="paragraph" w:customStyle="1" w:styleId="23">
    <w:name w:val="Normal_0"/>
    <w:qFormat/>
    <w:uiPriority w:val="0"/>
    <w:rPr>
      <w:rFonts w:ascii="Times New Roman" w:hAnsi="Times New Roman" w:eastAsia="宋体" w:cs="Times New Roman"/>
      <w:sz w:val="24"/>
      <w:szCs w:val="24"/>
      <w:lang w:val="en-US" w:eastAsia="zh-CN" w:bidi="ar-SA"/>
    </w:rPr>
  </w:style>
  <w:style w:type="character" w:customStyle="1" w:styleId="24">
    <w:name w:val="font21"/>
    <w:basedOn w:val="19"/>
    <w:qFormat/>
    <w:uiPriority w:val="0"/>
    <w:rPr>
      <w:rFonts w:hint="eastAsia" w:ascii="宋体" w:hAnsi="宋体" w:eastAsia="宋体" w:cs="宋体"/>
      <w:color w:val="000000"/>
      <w:sz w:val="24"/>
      <w:szCs w:val="24"/>
      <w:u w:val="none"/>
      <w:vertAlign w:val="superscript"/>
    </w:rPr>
  </w:style>
  <w:style w:type="character" w:customStyle="1" w:styleId="25">
    <w:name w:val="正文文本 (13) + 间距 3 pt"/>
    <w:qFormat/>
    <w:uiPriority w:val="99"/>
    <w:rPr>
      <w:rFonts w:ascii="MingLiU" w:eastAsia="MingLiU" w:cs="MingLiU"/>
      <w:spacing w:val="70"/>
      <w:sz w:val="56"/>
      <w:szCs w:val="56"/>
      <w:shd w:val="clear" w:color="auto" w:fill="FFFFFF"/>
    </w:rPr>
  </w:style>
  <w:style w:type="character" w:customStyle="1" w:styleId="26">
    <w:name w:val="标题 3 字符"/>
    <w:link w:val="4"/>
    <w:qFormat/>
    <w:uiPriority w:val="0"/>
    <w:rPr>
      <w:rFonts w:ascii="黑体" w:hAnsi="黑体" w:eastAsia="黑体"/>
      <w:kern w:val="0"/>
      <w:sz w:val="32"/>
      <w:szCs w:val="32"/>
    </w:rPr>
  </w:style>
  <w:style w:type="character" w:customStyle="1" w:styleId="27">
    <w:name w:val="标题 1 字符"/>
    <w:link w:val="2"/>
    <w:qFormat/>
    <w:uiPriority w:val="0"/>
    <w:rPr>
      <w:rFonts w:ascii="Times New Roman" w:hAnsi="Times New Roman" w:eastAsia="黑体"/>
      <w:b/>
      <w:bCs/>
      <w:color w:val="000000"/>
      <w:kern w:val="44"/>
      <w:sz w:val="44"/>
      <w:szCs w:val="42"/>
      <w:lang w:val="zh-CN"/>
    </w:rPr>
  </w:style>
  <w:style w:type="character" w:customStyle="1" w:styleId="28">
    <w:name w:val="标题 #5 Char"/>
    <w:link w:val="21"/>
    <w:qFormat/>
    <w:uiPriority w:val="99"/>
    <w:rPr>
      <w:rFonts w:ascii="MingLiU" w:eastAsia="MingLiU"/>
      <w:b/>
      <w:bCs/>
      <w:kern w:val="0"/>
      <w:sz w:val="28"/>
      <w:szCs w:val="28"/>
    </w:rPr>
  </w:style>
  <w:style w:type="character" w:customStyle="1" w:styleId="29">
    <w:name w:val="font01"/>
    <w:basedOn w:val="19"/>
    <w:qFormat/>
    <w:uiPriority w:val="0"/>
    <w:rPr>
      <w:rFonts w:hint="eastAsia" w:ascii="宋体" w:hAnsi="宋体" w:eastAsia="宋体" w:cs="宋体"/>
      <w:color w:val="000000"/>
      <w:sz w:val="22"/>
      <w:szCs w:val="22"/>
      <w:u w:val="none"/>
    </w:rPr>
  </w:style>
  <w:style w:type="character" w:customStyle="1" w:styleId="30">
    <w:name w:val="font31"/>
    <w:basedOn w:val="19"/>
    <w:qFormat/>
    <w:uiPriority w:val="0"/>
    <w:rPr>
      <w:rFonts w:hint="eastAsia" w:ascii="宋体" w:hAnsi="宋体" w:eastAsia="宋体" w:cs="宋体"/>
      <w:color w:val="000000"/>
      <w:sz w:val="24"/>
      <w:szCs w:val="24"/>
      <w:u w:val="none"/>
      <w:vertAlign w:val="superscript"/>
    </w:rPr>
  </w:style>
  <w:style w:type="paragraph" w:customStyle="1" w:styleId="31">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99</Pages>
  <Words>30595</Words>
  <Characters>31822</Characters>
  <Lines>435</Lines>
  <Paragraphs>122</Paragraphs>
  <TotalTime>14</TotalTime>
  <ScaleCrop>false</ScaleCrop>
  <LinksUpToDate>false</LinksUpToDate>
  <CharactersWithSpaces>33309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2025-01-10T03:11:00Z</dcterms:created>
  <dc:creator>。</dc:creator>
  <cp:lastModifiedBy>莘</cp:lastModifiedBy>
  <cp:lastPrinted>2026-03-26T02:47:00Z</cp:lastPrinted>
  <dcterms:modified xsi:type="dcterms:W3CDTF">2026-04-20T06:20:32Z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823EB289E72D476996E1161AF3F318A3_13</vt:lpwstr>
  </property>
  <property fmtid="{D5CDD505-2E9C-101B-9397-08002B2CF9AE}" pid="4" name="KSOTemplateDocerSaveRecord">
    <vt:lpwstr>eyJoZGlkIjoiZDk2NDBiNGNhNTZlZTQ2YjhjOWIyZWUzYmQyZWVkNjciLCJ1c2VySWQiOiI0MDY3OTI2NzUifQ==</vt:lpwstr>
  </property>
</Properties>
</file>