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72"/>
        </w:rPr>
      </w:pPr>
      <w:r>
        <w:rPr>
          <w:rFonts w:ascii="方正小标宋简体" w:hAnsi="方正小标宋简体" w:eastAsia="方正小标宋简体" w:cs="方正小标宋简体"/>
          <w:sz w:val="44"/>
          <w:szCs w:val="44"/>
        </w:rPr>
        <w:t>建设工程安装劳务施工安全协议书</w:t>
      </w:r>
    </w:p>
    <w:p>
      <w:pPr>
        <w:rPr>
          <w:rFonts w:hint="default" w:ascii="幼圆" w:eastAsia="幼圆"/>
          <w:sz w:val="32"/>
        </w:rPr>
      </w:pPr>
    </w:p>
    <w:p>
      <w:pPr>
        <w:rPr>
          <w:rFonts w:hint="default" w:ascii="幼圆" w:eastAsia="幼圆"/>
          <w:sz w:val="32"/>
        </w:rPr>
      </w:pPr>
    </w:p>
    <w:p>
      <w:pPr>
        <w:rPr>
          <w:rFonts w:hint="default" w:ascii="幼圆" w:eastAsia="幼圆"/>
          <w:sz w:val="32"/>
        </w:rPr>
      </w:pPr>
    </w:p>
    <w:p>
      <w:pPr>
        <w:rPr>
          <w:rFonts w:hint="default" w:ascii="幼圆" w:eastAsia="幼圆"/>
          <w:sz w:val="32"/>
        </w:rPr>
      </w:pPr>
    </w:p>
    <w:p>
      <w:pPr>
        <w:rPr>
          <w:rFonts w:hint="default" w:ascii="幼圆" w:eastAsia="幼圆"/>
          <w:sz w:val="32"/>
        </w:rPr>
      </w:pPr>
    </w:p>
    <w:p>
      <w:pPr>
        <w:rPr>
          <w:rFonts w:hint="default" w:ascii="幼圆" w:eastAsia="幼圆"/>
          <w:sz w:val="32"/>
        </w:rPr>
      </w:pPr>
    </w:p>
    <w:p>
      <w:pPr>
        <w:spacing w:line="360" w:lineRule="auto"/>
        <w:ind w:firstLine="643" w:firstLineChars="200"/>
        <w:rPr>
          <w:rFonts w:ascii="仿宋_GB2312" w:hAnsi="仿宋_GB2312" w:eastAsia="仿宋_GB2312" w:cs="仿宋_GB2312"/>
          <w:b/>
          <w:sz w:val="32"/>
        </w:rPr>
      </w:pPr>
      <w:r>
        <w:rPr>
          <w:rFonts w:ascii="仿宋_GB2312" w:hAnsi="仿宋_GB2312" w:eastAsia="仿宋_GB2312" w:cs="仿宋_GB2312"/>
          <w:b/>
          <w:sz w:val="32"/>
        </w:rPr>
        <w:t xml:space="preserve">发包单位（甲方）：        </w:t>
      </w:r>
    </w:p>
    <w:p>
      <w:pPr>
        <w:spacing w:line="360" w:lineRule="auto"/>
        <w:rPr>
          <w:rFonts w:ascii="仿宋_GB2312" w:hAnsi="仿宋_GB2312" w:eastAsia="仿宋_GB2312" w:cs="仿宋_GB2312"/>
          <w:b/>
          <w:sz w:val="32"/>
        </w:rPr>
      </w:pPr>
      <w:r>
        <w:rPr>
          <w:rFonts w:hint="default" w:ascii="仿宋_GB2312" w:hAnsi="仿宋_GB2312" w:eastAsia="仿宋_GB2312" w:cs="仿宋_GB2312"/>
          <w:b/>
          <w:sz w:val="20"/>
        </w:rPr>
        <mc:AlternateContent>
          <mc:Choice Requires="wps">
            <w:drawing>
              <wp:anchor distT="0" distB="0" distL="114300" distR="114300" simplePos="0" relativeHeight="251659264" behindDoc="0" locked="0" layoutInCell="1" allowOverlap="1">
                <wp:simplePos x="0" y="0"/>
                <wp:positionH relativeFrom="column">
                  <wp:posOffset>1912620</wp:posOffset>
                </wp:positionH>
                <wp:positionV relativeFrom="paragraph">
                  <wp:posOffset>50800</wp:posOffset>
                </wp:positionV>
                <wp:extent cx="3333750" cy="0"/>
                <wp:effectExtent l="0" t="4445" r="0" b="5080"/>
                <wp:wrapNone/>
                <wp:docPr id="2" name="直接连接符 3"/>
                <wp:cNvGraphicFramePr/>
                <a:graphic xmlns:a="http://schemas.openxmlformats.org/drawingml/2006/main">
                  <a:graphicData uri="http://schemas.microsoft.com/office/word/2010/wordprocessingShape">
                    <wps:wsp>
                      <wps:cNvCnPr/>
                      <wps:spPr>
                        <a:xfrm>
                          <a:off x="0" y="0"/>
                          <a:ext cx="333375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 o:spid="_x0000_s1026" o:spt="20" style="position:absolute;left:0pt;margin-left:150.6pt;margin-top:4pt;height:0pt;width:262.5pt;z-index:251659264;mso-width-relative:page;mso-height-relative:page;" filled="f" stroked="t" coordsize="21600,21600" o:gfxdata="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t&#10;3L0G0wAAAAcBAAAPAAAAAAAAAAEAIAAAACIAAABkcnMvZG93bnJldi54bWxQSwECFAAUAAAACACH&#10;TuJAlpypS/ABAADiAwAADgAAAAAAAAABACAAAAAiAQAAZHJzL2Uyb0RvYy54bWxQSwUGAAAAAAYA&#10;BgBZAQAAhAUAAAAA&#10;">
                <v:fill on="f" focussize="0,0"/>
                <v:stroke color="#000000" joinstyle="round"/>
                <v:imagedata o:title=""/>
                <o:lock v:ext="edit" aspectratio="f"/>
              </v:line>
            </w:pict>
          </mc:Fallback>
        </mc:AlternateContent>
      </w:r>
    </w:p>
    <w:p>
      <w:pPr>
        <w:tabs>
          <w:tab w:val="left" w:pos="2310"/>
        </w:tabs>
        <w:spacing w:line="360" w:lineRule="auto"/>
        <w:ind w:firstLine="643" w:firstLineChars="200"/>
        <w:rPr>
          <w:rFonts w:ascii="仿宋_GB2312" w:hAnsi="仿宋_GB2312" w:eastAsia="仿宋_GB2312" w:cs="仿宋_GB2312"/>
          <w:b/>
          <w:sz w:val="32"/>
          <w:szCs w:val="32"/>
        </w:rPr>
      </w:pPr>
      <w:r>
        <w:rPr>
          <w:rFonts w:hint="default" w:ascii="仿宋_GB2312" w:hAnsi="仿宋_GB2312" w:eastAsia="仿宋_GB2312" w:cs="仿宋_GB2312"/>
          <w:b/>
          <w:sz w:val="32"/>
        </w:rPr>
        <mc:AlternateContent>
          <mc:Choice Requires="wps">
            <w:drawing>
              <wp:anchor distT="0" distB="0" distL="114300" distR="114300" simplePos="0" relativeHeight="251660288" behindDoc="0" locked="0" layoutInCell="1" allowOverlap="1">
                <wp:simplePos x="0" y="0"/>
                <wp:positionH relativeFrom="column">
                  <wp:posOffset>1979295</wp:posOffset>
                </wp:positionH>
                <wp:positionV relativeFrom="paragraph">
                  <wp:posOffset>347980</wp:posOffset>
                </wp:positionV>
                <wp:extent cx="3333750" cy="0"/>
                <wp:effectExtent l="0" t="4445" r="0" b="5080"/>
                <wp:wrapNone/>
                <wp:docPr id="3" name="直接连接符 1"/>
                <wp:cNvGraphicFramePr/>
                <a:graphic xmlns:a="http://schemas.openxmlformats.org/drawingml/2006/main">
                  <a:graphicData uri="http://schemas.microsoft.com/office/word/2010/wordprocessingShape">
                    <wps:wsp>
                      <wps:cNvCnPr/>
                      <wps:spPr>
                        <a:xfrm>
                          <a:off x="0" y="0"/>
                          <a:ext cx="333375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 o:spid="_x0000_s1026" o:spt="20" style="position:absolute;left:0pt;margin-left:155.85pt;margin-top:27.4pt;height:0pt;width:262.5pt;z-index:251660288;mso-width-relative:page;mso-height-relative:page;" filled="f" stroked="t" coordsize="21600,21600" o:gfxdata="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OpCz1gAAAAkBAAAPAAAAAAAAAAEAIAAAACIAAABkcnMvZG93bnJldi54bWxQSwECFAAUAAAA&#10;CACHTuJABrzoSfABAADiAwAADgAAAAAAAAABACAAAAAlAQAAZHJzL2Uyb0RvYy54bWxQSwUGAAAA&#10;AAYABgBZAQAAhwUAAAAA&#10;">
                <v:fill on="f" focussize="0,0"/>
                <v:stroke color="#000000" joinstyle="round"/>
                <v:imagedata o:title=""/>
                <o:lock v:ext="edit" aspectratio="f"/>
              </v:line>
            </w:pict>
          </mc:Fallback>
        </mc:AlternateContent>
      </w:r>
      <w:r>
        <w:rPr>
          <w:rFonts w:ascii="仿宋_GB2312" w:hAnsi="仿宋_GB2312" w:eastAsia="仿宋_GB2312" w:cs="仿宋_GB2312"/>
          <w:b/>
          <w:sz w:val="32"/>
        </w:rPr>
        <w:t>承包单位（乙方）：</w:t>
      </w:r>
      <w:r>
        <w:rPr>
          <w:rFonts w:ascii="仿宋_GB2312" w:hAnsi="仿宋_GB2312" w:eastAsia="仿宋_GB2312" w:cs="仿宋_GB2312"/>
          <w:b/>
          <w:sz w:val="28"/>
        </w:rPr>
        <w:t xml:space="preserve">        </w:t>
      </w:r>
    </w:p>
    <w:p>
      <w:pPr>
        <w:rPr>
          <w:rFonts w:ascii="仿宋_GB2312" w:hAnsi="仿宋_GB2312" w:eastAsia="仿宋_GB2312" w:cs="仿宋_GB2312"/>
          <w:sz w:val="32"/>
        </w:rPr>
      </w:pPr>
      <w:r>
        <w:rPr>
          <w:rFonts w:ascii="仿宋_GB2312" w:hAnsi="仿宋_GB2312" w:eastAsia="仿宋_GB2312" w:cs="仿宋_GB2312"/>
          <w:sz w:val="32"/>
        </w:rPr>
        <w:t xml:space="preserve">  </w:t>
      </w:r>
    </w:p>
    <w:p>
      <w:pPr>
        <w:rPr>
          <w:rFonts w:ascii="仿宋_GB2312" w:hAnsi="仿宋_GB2312" w:eastAsia="仿宋_GB2312" w:cs="仿宋_GB2312"/>
          <w:sz w:val="32"/>
        </w:rPr>
      </w:pPr>
    </w:p>
    <w:p>
      <w:pPr>
        <w:rPr>
          <w:rFonts w:ascii="仿宋_GB2312" w:hAnsi="仿宋_GB2312" w:eastAsia="仿宋_GB2312" w:cs="仿宋_GB2312"/>
          <w:sz w:val="32"/>
        </w:rPr>
      </w:pPr>
    </w:p>
    <w:p>
      <w:pPr>
        <w:rPr>
          <w:rFonts w:ascii="仿宋_GB2312" w:hAnsi="仿宋_GB2312" w:eastAsia="仿宋_GB2312" w:cs="仿宋_GB2312"/>
          <w:sz w:val="32"/>
        </w:rPr>
      </w:pPr>
    </w:p>
    <w:p>
      <w:pPr>
        <w:jc w:val="center"/>
        <w:rPr>
          <w:rFonts w:ascii="仿宋_GB2312" w:hAnsi="仿宋_GB2312" w:eastAsia="仿宋_GB2312" w:cs="仿宋_GB2312"/>
          <w:b/>
          <w:sz w:val="30"/>
        </w:rPr>
      </w:pPr>
      <w:r>
        <w:rPr>
          <w:rFonts w:ascii="仿宋_GB2312" w:hAnsi="仿宋_GB2312" w:eastAsia="仿宋_GB2312" w:cs="仿宋_GB2312"/>
          <w:b/>
          <w:sz w:val="30"/>
        </w:rPr>
        <w:t>二 O    年   月</w:t>
      </w:r>
    </w:p>
    <w:p>
      <w:pPr>
        <w:rPr>
          <w:rFonts w:hint="default" w:ascii="幼圆" w:eastAsia="幼圆"/>
          <w:b/>
          <w:sz w:val="30"/>
        </w:rPr>
      </w:pPr>
    </w:p>
    <w:p>
      <w:pPr>
        <w:rPr>
          <w:rFonts w:hint="default" w:ascii="幼圆" w:eastAsia="幼圆"/>
          <w:sz w:val="32"/>
        </w:rPr>
        <w:sectPr>
          <w:footerReference r:id="rId3" w:type="default"/>
          <w:pgSz w:w="11906" w:h="16838"/>
          <w:pgMar w:top="1400" w:right="1400" w:bottom="1400" w:left="1400" w:header="851" w:footer="851" w:gutter="0"/>
          <w:cols w:space="720" w:num="1"/>
          <w:docGrid w:type="lines" w:linePitch="312" w:charSpace="0"/>
        </w:sectPr>
      </w:pPr>
    </w:p>
    <w:p>
      <w:pPr>
        <w:spacing w:line="600" w:lineRule="exact"/>
        <w:jc w:val="center"/>
        <w:rPr>
          <w:rFonts w:hint="default"/>
          <w:sz w:val="44"/>
        </w:rPr>
      </w:pPr>
      <w:r>
        <w:rPr>
          <w:rFonts w:eastAsia="黑体"/>
          <w:sz w:val="44"/>
        </w:rPr>
        <w:t>协  议  书</w:t>
      </w:r>
    </w:p>
    <w:p>
      <w:pPr>
        <w:spacing w:line="600" w:lineRule="exact"/>
        <w:jc w:val="center"/>
        <w:rPr>
          <w:rFonts w:ascii="仿宋_GB2312" w:hAnsi="仿宋_GB2312" w:eastAsia="仿宋_GB2312" w:cs="仿宋_GB2312"/>
          <w:sz w:val="44"/>
        </w:rPr>
      </w:pPr>
      <w:r>
        <w:rPr>
          <w:rFonts w:ascii="宋体" w:hAnsi="宋体" w:eastAsia="宋体" w:cs="宋体"/>
          <w:b/>
          <w:sz w:val="30"/>
        </w:rPr>
        <w:t xml:space="preserve">                               </w:t>
      </w:r>
      <w:r>
        <w:rPr>
          <w:rFonts w:ascii="仿宋_GB2312" w:hAnsi="仿宋_GB2312" w:eastAsia="仿宋_GB2312" w:cs="仿宋_GB2312"/>
          <w:b/>
          <w:sz w:val="30"/>
        </w:rPr>
        <w:t xml:space="preserve">  </w:t>
      </w:r>
      <w:r>
        <w:rPr>
          <w:rFonts w:ascii="仿宋_GB2312" w:hAnsi="仿宋_GB2312" w:eastAsia="仿宋_GB2312" w:cs="仿宋_GB2312"/>
          <w:sz w:val="30"/>
        </w:rPr>
        <w:t>签订地点：安徽.合肥</w:t>
      </w:r>
    </w:p>
    <w:p>
      <w:pPr>
        <w:spacing w:line="600" w:lineRule="exact"/>
        <w:rPr>
          <w:rFonts w:ascii="仿宋_GB2312" w:hAnsi="仿宋_GB2312" w:eastAsia="仿宋_GB2312" w:cs="仿宋_GB2312"/>
          <w:kern w:val="0"/>
          <w:sz w:val="28"/>
          <w:szCs w:val="28"/>
        </w:rPr>
      </w:pPr>
      <w:r>
        <w:rPr>
          <w:rFonts w:ascii="仿宋_GB2312" w:hAnsi="仿宋_GB2312" w:eastAsia="仿宋_GB2312" w:cs="仿宋_GB2312"/>
          <w:b/>
          <w:kern w:val="0"/>
          <w:sz w:val="28"/>
          <w:szCs w:val="28"/>
        </w:rPr>
        <w:t>发包单位</w:t>
      </w:r>
      <w:r>
        <w:rPr>
          <w:rFonts w:ascii="仿宋_GB2312" w:hAnsi="仿宋_GB2312" w:eastAsia="仿宋_GB2312" w:cs="仿宋_GB2312"/>
          <w:kern w:val="0"/>
          <w:sz w:val="28"/>
          <w:szCs w:val="28"/>
        </w:rPr>
        <w:t>（以下简称甲方）</w:t>
      </w:r>
    </w:p>
    <w:p>
      <w:pPr>
        <w:spacing w:line="600" w:lineRule="exact"/>
        <w:rPr>
          <w:rFonts w:ascii="仿宋_GB2312" w:hAnsi="仿宋_GB2312" w:eastAsia="仿宋_GB2312" w:cs="仿宋_GB2312"/>
          <w:b/>
          <w:sz w:val="28"/>
        </w:rPr>
      </w:pPr>
      <w:r>
        <w:rPr>
          <w:rFonts w:ascii="仿宋_GB2312" w:hAnsi="仿宋_GB2312" w:eastAsia="仿宋_GB2312" w:cs="仿宋_GB2312"/>
          <w:b/>
          <w:kern w:val="0"/>
          <w:sz w:val="28"/>
          <w:szCs w:val="28"/>
        </w:rPr>
        <w:t>承包单位</w:t>
      </w:r>
      <w:r>
        <w:rPr>
          <w:rFonts w:ascii="仿宋_GB2312" w:hAnsi="仿宋_GB2312" w:eastAsia="仿宋_GB2312" w:cs="仿宋_GB2312"/>
          <w:kern w:val="0"/>
          <w:sz w:val="28"/>
          <w:szCs w:val="28"/>
        </w:rPr>
        <w:t>（以下简称乙方）：</w:t>
      </w:r>
    </w:p>
    <w:p>
      <w:pPr>
        <w:spacing w:line="600" w:lineRule="exact"/>
        <w:rPr>
          <w:rFonts w:ascii="仿宋_GB2312" w:hAnsi="仿宋_GB2312" w:eastAsia="仿宋_GB2312" w:cs="仿宋_GB2312"/>
          <w:sz w:val="28"/>
        </w:rPr>
      </w:pPr>
      <w:r>
        <w:rPr>
          <w:rFonts w:ascii="仿宋_GB2312" w:hAnsi="仿宋_GB2312" w:eastAsia="仿宋_GB2312" w:cs="仿宋_GB2312"/>
          <w:b/>
          <w:sz w:val="28"/>
        </w:rPr>
        <w:t>项目内容：</w:t>
      </w:r>
      <w:r>
        <w:rPr>
          <w:rFonts w:ascii="仿宋_GB2312" w:hAnsi="仿宋_GB2312" w:eastAsia="仿宋_GB2312" w:cs="仿宋_GB2312"/>
          <w:sz w:val="28"/>
        </w:rPr>
        <w:t xml:space="preserve"> </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为了切实加强施工现场安全生产管理，依照《中华人民共和国安全生产法》、《中华人民共和国劳动法》《中华人民共和国建筑法》、《中华人民共和国民法典》、《建设工程安全生产管理条例》、《建筑机械使用安全技术规范》、《建筑与市政工程施工现场临时用电安全技术标准》、《建筑施工高处作业安全技术规范》、《建筑拆除工程安全技术规范》、《建筑基坑支护技术规程》、《水利水电工程施工通用安全技术规程》、《水利水电工程金属结构与机电设备安装安全技术规程》、《建筑施工现场环境与卫生标准》、《安全标志使用导则》、《建筑施工安全检查标准》</w:t>
      </w:r>
      <w:r>
        <w:rPr>
          <w:rFonts w:hint="eastAsia" w:ascii="仿宋_GB2312" w:hAnsi="仿宋_GB2312" w:eastAsia="仿宋_GB2312" w:cs="仿宋_GB2312"/>
          <w:sz w:val="28"/>
          <w:lang w:eastAsia="zh-CN"/>
        </w:rPr>
        <w:t>、</w:t>
      </w:r>
      <w:r>
        <w:rPr>
          <w:rFonts w:ascii="仿宋_GB2312" w:hAnsi="仿宋_GB2312" w:eastAsia="仿宋_GB2312" w:cs="仿宋_GB2312"/>
          <w:sz w:val="28"/>
        </w:rPr>
        <w:t>《热网施工安全标准化管理手册》</w:t>
      </w:r>
      <w:r>
        <w:rPr>
          <w:rFonts w:hint="eastAsia" w:ascii="仿宋_GB2312" w:hAnsi="仿宋_GB2312" w:eastAsia="仿宋_GB2312" w:cs="仿宋_GB2312"/>
          <w:sz w:val="28"/>
          <w:lang w:eastAsia="zh-CN"/>
        </w:rPr>
        <w:t>（</w:t>
      </w:r>
      <w:r>
        <w:rPr>
          <w:rFonts w:hint="eastAsia" w:ascii="仿宋_GB2312" w:hAnsi="仿宋_GB2312" w:eastAsia="仿宋_GB2312" w:cs="仿宋_GB2312"/>
          <w:sz w:val="28"/>
          <w:lang w:val="en-US" w:eastAsia="zh-CN"/>
        </w:rPr>
        <w:t>详见</w:t>
      </w:r>
      <w:bookmarkStart w:id="0" w:name="_GoBack"/>
      <w:bookmarkEnd w:id="0"/>
      <w:r>
        <w:rPr>
          <w:rFonts w:hint="eastAsia" w:ascii="仿宋_GB2312" w:hAnsi="仿宋_GB2312" w:eastAsia="仿宋_GB2312" w:cs="仿宋_GB2312"/>
          <w:sz w:val="28"/>
          <w:lang w:val="en-US" w:eastAsia="zh-CN"/>
        </w:rPr>
        <w:t>附件</w:t>
      </w:r>
      <w:r>
        <w:rPr>
          <w:rFonts w:hint="eastAsia" w:ascii="仿宋_GB2312" w:hAnsi="仿宋_GB2312" w:eastAsia="仿宋_GB2312" w:cs="仿宋_GB2312"/>
          <w:sz w:val="28"/>
          <w:lang w:eastAsia="zh-CN"/>
        </w:rPr>
        <w:t>）</w:t>
      </w:r>
      <w:r>
        <w:rPr>
          <w:rFonts w:ascii="仿宋_GB2312" w:hAnsi="仿宋_GB2312" w:eastAsia="仿宋_GB2312" w:cs="仿宋_GB2312"/>
          <w:sz w:val="28"/>
        </w:rPr>
        <w:t>等，双方本着平等、自愿的原则，双方经协商，签订如下施工建设工程安全协议书并共同遵守本协议书规定的权力、责任和义务，做到文明、安全施工，确保施工现场安全生产和施工建设项目顺利实施。</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rPr>
        <w:t>一、</w:t>
      </w:r>
      <w:r>
        <w:rPr>
          <w:rFonts w:ascii="仿宋_GB2312" w:hAnsi="仿宋_GB2312" w:eastAsia="仿宋_GB2312" w:cs="仿宋_GB2312"/>
          <w:sz w:val="28"/>
          <w:szCs w:val="28"/>
        </w:rPr>
        <w:t>双方权利与义务</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1、甲方权利与义务</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1.1贯彻落实国家有关施工现场安全生产、文明施工的法规和管理规定，对施工现场进行全面的安全生产管理和监督检查，对施工现场临时用电进行安全检查与指导。</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1.2甲方有权对乙方的安全生产培训、劳动保护用品的使用和危险预知工作提出指导意见，并监督落实情况。</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1.3不得要求乙方违反安全管理的规定进行施工。因甲方所属正式员工人为不安全行为而导致的施工现场安全事故，由甲方承担相应责任及所发生的费用。</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1.4甲方有权按照本方安全管理制度对施工区域内安全文明施工进行安全监督管理。</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1.5甲方对乙方特种作业人员的名单、操作证复印件及培训记录进行存档备案。</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2、乙方权利与义务</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2.1乙方对所承建工程负有全面安全管理责任。</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2.2乙方应具备有效期范围内的《安全生产许可证》，设置专职安全生产管理员进行现场监督。</w:t>
      </w:r>
    </w:p>
    <w:p>
      <w:pPr>
        <w:spacing w:line="600" w:lineRule="exact"/>
        <w:ind w:firstLine="560" w:firstLineChars="200"/>
        <w:jc w:val="left"/>
        <w:rPr>
          <w:rFonts w:ascii="仿宋_GB2312" w:hAnsi="仿宋_GB2312" w:eastAsia="仿宋_GB2312" w:cs="仿宋_GB2312"/>
          <w:sz w:val="28"/>
        </w:rPr>
      </w:pPr>
      <w:r>
        <w:rPr>
          <w:rFonts w:ascii="仿宋_GB2312" w:hAnsi="仿宋_GB2312" w:eastAsia="仿宋_GB2312" w:cs="仿宋_GB2312"/>
          <w:sz w:val="28"/>
        </w:rPr>
        <w:t>2.3乙方应建立完善安全生产责任制、安全生产资金保障制度、安全生产教育培训制度、安全生产管理目标及目标分解，制定各工种安全技术操作规程。建立施工组织措施和工程安全技术措施体系，安全措施应符合建筑工程建设强制性标准。对工程中可能出现一定规模的危险性较大的分部分项工程，应编制专项施工方案。超过一定规模的危险性较大的分部分项工程按照要求在编制完专项施工方案的基础上组织专家论证，且必须按照专家论证后的方案严格实施。乙方用电管理应符合《建筑与市政工程施工现场临时用电安全技术标准》（JGJ/T46-2024）。</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2.4乙方应建立消防安全责任制度，确定消防安全责任人，制定用火、用电、使用易燃易爆材料等各项消防安全管理制度和操作规程，配备消防设施和灭火器材，并在施工现场入口处设置明显安全标志。</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2.5乙方应严格执行国家施工现场机械设备有关使用技术规范和安全操作规程，对施工区域内自行管辖部分负全面安全管理责任。</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2.6乙方租赁或自备的特种设备应向甲方提供机械设备相关的技术文件和出厂说明书，还必须提供具有专业资质的检测、检验单位出具的安全技术检测证明，</w:t>
      </w:r>
      <w:r>
        <w:rPr>
          <w:rFonts w:hint="eastAsia" w:ascii="仿宋_GB2312" w:hAnsi="仿宋_GB2312" w:eastAsia="仿宋_GB2312" w:cs="仿宋_GB2312"/>
          <w:sz w:val="28"/>
          <w:lang w:eastAsia="zh-CN"/>
        </w:rPr>
        <w:t>建立</w:t>
      </w:r>
      <w:r>
        <w:rPr>
          <w:rFonts w:ascii="仿宋_GB2312" w:hAnsi="仿宋_GB2312" w:eastAsia="仿宋_GB2312" w:cs="仿宋_GB2312"/>
          <w:sz w:val="28"/>
        </w:rPr>
        <w:t>完善的特种设备管理台账，否则，不得投入使用。设备验收合格后，需在设备上张贴设备验收合格单和设备安全操作规程，并由安全员签字确认。</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2.7起重机械设备的安装和拆卸必须由有资格的单位和专业人员进行，并应有专人定期进行维修和保养，对达不到安全要求又不能修复的机械设备，必须立即停用，撤离施工现场。</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2.8乙方特种作业人员应具备合格的特种作业资格证。</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2.9乙方负责项目管理的安全技术人员对施工现场进行危险源辨识并做好列表，对有关安全施工的技术要求应向施工作业班组、作业人员作出详细安全交底，并由双方签字确认。</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2.10乙方施工现场的办公、生活区与作业区设置应符合《建筑施工现场环境与卫生标准》。</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2.11乙方应遵守工程建设有关安全生产管理规定，严格按安全标准组织施工，服从甲方安全生产管理，并随时接受行业及甲方安全员依法实施的检查监督，确认是否已采取必要的安全防护措施和相应治理方案，是否消除了事故隐患等。</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2.13乙方因自身安全管理不当造成生产安全事故，导致人员伤亡或财产损失时，应由乙方承担事故责任和经济责任。</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2.14未经安全生产教育培训的人、无证人员及未成年人，不得上岗作业。</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2.15乙方项目负责人为安全、生产第一责任人。</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二、安全生产施工细则：</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 xml:space="preserve">1、乙方必须对进入现场工作人员进行安全知识培训，增强现场工作人员的安全意识和安全技术管理水平。 </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 xml:space="preserve">2、乙方项目负责人和安全管理人员应当由取得相应执业资格的人员担任。 </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 xml:space="preserve">3、乙方在施工现场应明确指定现场安全负责人，加强施工地点的文明、安全和管理，所有施工人员应正确穿戴好合格的劳动防护用品，遵守甲方的厂区安全、现场安全管理制度，做到安全文明施工。 </w:t>
      </w:r>
    </w:p>
    <w:p>
      <w:pPr>
        <w:spacing w:line="600" w:lineRule="exact"/>
        <w:ind w:firstLine="560" w:firstLineChars="200"/>
        <w:rPr>
          <w:rFonts w:ascii="仿宋_GB2312" w:hAnsi="仿宋_GB2312" w:eastAsia="仿宋_GB2312" w:cs="仿宋_GB2312"/>
          <w:sz w:val="28"/>
          <w:highlight w:val="none"/>
        </w:rPr>
      </w:pPr>
      <w:r>
        <w:rPr>
          <w:rFonts w:ascii="仿宋_GB2312" w:hAnsi="仿宋_GB2312" w:eastAsia="仿宋_GB2312" w:cs="仿宋_GB2312"/>
          <w:sz w:val="28"/>
        </w:rPr>
        <w:t>4、施工现场显</w:t>
      </w:r>
      <w:r>
        <w:rPr>
          <w:rFonts w:ascii="仿宋_GB2312" w:hAnsi="仿宋_GB2312" w:eastAsia="仿宋_GB2312" w:cs="仿宋_GB2312"/>
          <w:sz w:val="28"/>
          <w:highlight w:val="none"/>
        </w:rPr>
        <w:t>著位置应设有包括但不限于五牌一图(工程概况牌、管理人员名单及监督电话牌、消防保卫牌、安全生产牌、文明施工牌和</w:t>
      </w:r>
      <w:r>
        <w:rPr>
          <w:highlight w:val="none"/>
        </w:rPr>
        <w:fldChar w:fldCharType="begin"/>
      </w:r>
      <w:r>
        <w:rPr>
          <w:highlight w:val="none"/>
        </w:rPr>
        <w:instrText xml:space="preserve"> HYPERLINK "https://baike.baidu.com/item/%E6%96%BD%E5%B7%A5%E7%8E%B0%E5%9C%BA/2373699?fromModule=lemma_inlink" \t "https://baike.baidu.com/item/%E4%BA%94%E7%89%8C%E4%B8%80%E5%9B%BE/_blank" </w:instrText>
      </w:r>
      <w:r>
        <w:rPr>
          <w:highlight w:val="none"/>
        </w:rPr>
        <w:fldChar w:fldCharType="separate"/>
      </w:r>
      <w:r>
        <w:rPr>
          <w:rFonts w:hint="default" w:ascii="仿宋_GB2312" w:hAnsi="仿宋_GB2312" w:eastAsia="仿宋_GB2312" w:cs="仿宋_GB2312"/>
          <w:sz w:val="28"/>
          <w:highlight w:val="none"/>
        </w:rPr>
        <w:t>施工现场</w:t>
      </w:r>
      <w:r>
        <w:rPr>
          <w:rFonts w:hint="default" w:ascii="仿宋_GB2312" w:hAnsi="仿宋_GB2312" w:eastAsia="仿宋_GB2312" w:cs="仿宋_GB2312"/>
          <w:sz w:val="28"/>
          <w:highlight w:val="none"/>
        </w:rPr>
        <w:fldChar w:fldCharType="end"/>
      </w:r>
      <w:r>
        <w:rPr>
          <w:rFonts w:hint="default" w:ascii="仿宋_GB2312" w:hAnsi="仿宋_GB2312" w:eastAsia="仿宋_GB2312" w:cs="仿宋_GB2312"/>
          <w:sz w:val="28"/>
          <w:highlight w:val="none"/>
        </w:rPr>
        <w:t>总平面图</w:t>
      </w:r>
      <w:r>
        <w:rPr>
          <w:rFonts w:ascii="仿宋_GB2312" w:hAnsi="仿宋_GB2312" w:eastAsia="仿宋_GB2312" w:cs="仿宋_GB2312"/>
          <w:sz w:val="28"/>
          <w:highlight w:val="none"/>
        </w:rPr>
        <w:t>)、现场重大风险源公示牌、农民工维权告知牌、环保施工标准牌、环境保护牌、质量控制牌等，以上标牌应格式统一大小为A1，具体样式须经甲方认可；实行网格化管理的项目现场设置网格化公示牌，明确网格化管理的人员和职责；针对危险性较大的分部分项工程和超过一定规模的危险性较大的分部分项工程要求设置安全条件确认牌，由专职安全员每天对安全条件进行挂牌确认，包括但不限于作业地点、确认部位、涉及风险、确认人和确认结论；同时还应有施工组织措施，醒目位置设置安全标识，做到文明施工。</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highlight w:val="none"/>
        </w:rPr>
        <w:t>5、乙方应认真贯彻《建筑机械使用安全技术规范》、《建设工程安全生产管理条例》、《建筑与市政工程施工现场临时用电安全技术标准》、《建筑施工高处作业安全技术规范》、《</w:t>
      </w:r>
      <w:r>
        <w:rPr>
          <w:rFonts w:ascii="仿宋_GB2312" w:hAnsi="仿宋_GB2312" w:eastAsia="仿宋_GB2312" w:cs="仿宋_GB2312"/>
          <w:sz w:val="28"/>
        </w:rPr>
        <w:t>建筑拆除工程安全技术规范》、《建筑基坑支护技术规程》、《水利水电工程施工通用安全技术规程》、《水利水电工程金属结构与机电设备安装安全技术规程》、《建筑施工现场环境与卫生标准》、《安全标志使用导则》、《建筑施工安全检查标准》、《热网施工安全标准化管理手册》等。在甲方已建成的厂区内进行施工时，必须和甲方项目负责人保持密切联系，如需施工用电，基坑、土方、模板工程作业、高空作业、脚手架作业、压力容器等有限空间火焊与切割作业、物料提升机起重吊装作业、施工机具使用必须遵守《建设工程安全生产管理条例》要求执行，工程中如需要动用甲方水、电、气和其他设备设施或进行危险作业（爆破、拆除、吊装、危险搬运、登高架设、动火、临时用电、电气安装、切割焊接、冲剪压机械、锅炉压力容器等），必须与甲方办理相关安全管理手续后方可实施（工作票及操作票应写明安全措施，如遇高空作业应佩戴安全带、安全帽，动火作业应配备消防器材等等），接水、接电、接气必须由甲方或甲方指定人员操作。未经甲方允许，乙方不准擅自使用和移动甲方的设备设施，否则所发生的一切后果由乙方承担。</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6、严禁在暴雨、打雷、大雾、雪等不良气候条件露天作业，严禁在6级及以上大风下露天高处作业、脚手架作业、液压滑动模板作业和起重作业；严禁在5级及以上的大风下露天切割焊接。在实施切割焊接作业地面需设置接火盆。施工过程应制定防高温、防风、防雨、防雷击、防火、防雪天滑跌等安全措施，确保施工安全。</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 xml:space="preserve">7、乙方施工过程中，要做到“四不伤害”（不伤害自己，不伤害他人，不被他人伤害，保护他人不受伤害），由于乙方施工队伍施工管理不善而造成甲方人员、乙方人员或第三方人员伤害或财产损失的，甲方将有权追究乙方经济赔偿及法律责任。 </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8、甲方对乙方施工现场检查时提出的违章现象和安全隐患，乙方应立即100%整改。</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9、乙方应制定火灾应急救援预案、防汛应急救援预案及施工现场人员伤害应急救援预案等、配备必要的应急救援器材设备，并定期组织演练。</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10、乙方对施工建设现场采取管理措施，防止或者减少粉尘、废气、废水、固体废物、噪声、振动和施工照明对人和环境的危害和污染。乙方需无条件响应</w:t>
      </w:r>
      <w:r>
        <w:rPr>
          <w:rFonts w:hint="eastAsia" w:ascii="仿宋_GB2312" w:hAnsi="仿宋_GB2312" w:eastAsia="仿宋_GB2312" w:cs="仿宋_GB2312"/>
          <w:sz w:val="28"/>
          <w:lang w:val="en-US" w:eastAsia="zh-CN"/>
        </w:rPr>
        <w:t>甲方</w:t>
      </w:r>
      <w:r>
        <w:rPr>
          <w:rFonts w:hint="eastAsia" w:ascii="仿宋_GB2312" w:hAnsi="仿宋_GB2312" w:eastAsia="仿宋_GB2312" w:cs="仿宋_GB2312"/>
          <w:sz w:val="28"/>
        </w:rPr>
        <w:t>关于在公司工程中推广道路破路切缝嵌入钢板和钢板上涂刷AB胶防滑的通知</w:t>
      </w:r>
      <w:r>
        <w:rPr>
          <w:rFonts w:ascii="仿宋_GB2312" w:hAnsi="仿宋_GB2312" w:eastAsia="仿宋_GB2312" w:cs="仿宋_GB2312"/>
          <w:sz w:val="28"/>
        </w:rPr>
        <w:t>（后附）。乙方需配合甲方做好现场噪音控制，配合甲方做好各类风险的对周边居民的告知工作，在围挡显眼位置张贴工程概况牌、项目负责人联系方式（篇幅不小于A2）方便周边居民沟通投诉。</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11、乙方建立工程安全管理台账和档案</w:t>
      </w:r>
      <w:r>
        <w:rPr>
          <w:rFonts w:ascii="仿宋_GB2312" w:hAnsi="仿宋_GB2312" w:eastAsia="仿宋_GB2312" w:cs="仿宋_GB2312"/>
          <w:sz w:val="28"/>
          <w:szCs w:val="28"/>
        </w:rPr>
        <w:t>，</w:t>
      </w:r>
      <w:r>
        <w:rPr>
          <w:rFonts w:ascii="仿宋_GB2312" w:hAnsi="仿宋_GB2312" w:eastAsia="仿宋_GB2312" w:cs="仿宋_GB2312"/>
          <w:sz w:val="28"/>
        </w:rPr>
        <w:t>对所承建的建设工程应制定定期和专项安全检查方案，并做好详细安全检查记录，同时做好对甲方安全信息通报工作。</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12、乙方的安全第一责任人和专职（兼职）安全员应定期参加甲方的安全工作会议。</w:t>
      </w:r>
    </w:p>
    <w:p>
      <w:pPr>
        <w:spacing w:line="600" w:lineRule="exact"/>
        <w:ind w:firstLine="560" w:firstLineChars="200"/>
        <w:rPr>
          <w:rFonts w:ascii="仿宋_GB2312" w:hAnsi="仿宋_GB2312" w:eastAsia="仿宋_GB2312" w:cs="仿宋_GB2312"/>
          <w:sz w:val="28"/>
          <w:highlight w:val="none"/>
        </w:rPr>
      </w:pPr>
      <w:r>
        <w:rPr>
          <w:rFonts w:ascii="仿宋_GB2312" w:hAnsi="仿宋_GB2312" w:eastAsia="仿宋_GB2312" w:cs="仿宋_GB2312"/>
          <w:sz w:val="28"/>
          <w:highlight w:val="none"/>
        </w:rPr>
        <w:t>13、乙方需要无条件执行合肥热电集团有限公司《工程安全管理大提升清单》（后附）、合肥市城乡建设局下发的《</w:t>
      </w:r>
      <w:r>
        <w:rPr>
          <w:highlight w:val="none"/>
        </w:rPr>
        <w:fldChar w:fldCharType="begin"/>
      </w:r>
      <w:r>
        <w:rPr>
          <w:highlight w:val="none"/>
        </w:rPr>
        <w:instrText xml:space="preserve"> HYPERLINK "http://www.baidu.com/link?url=qdKsDXLDi65HJAqKg0t1s-_mPpaz9mmHUxlLwIdqkq7jFe-L9BkaVgA4Klz4ZH7tXY4wE2WcKMhYOKTMoLSU6K" \t "https://www.baidu.com/_blank" </w:instrText>
      </w:r>
      <w:r>
        <w:rPr>
          <w:highlight w:val="none"/>
        </w:rPr>
        <w:fldChar w:fldCharType="separate"/>
      </w:r>
      <w:r>
        <w:rPr>
          <w:rFonts w:hint="default" w:ascii="仿宋_GB2312" w:hAnsi="仿宋_GB2312" w:eastAsia="仿宋_GB2312" w:cs="仿宋_GB2312"/>
          <w:sz w:val="28"/>
          <w:highlight w:val="none"/>
        </w:rPr>
        <w:t>关于持续开展合肥市房建市政工程安全管理五个专项治理的通知</w:t>
      </w:r>
      <w:r>
        <w:rPr>
          <w:rFonts w:ascii="仿宋_GB2312" w:hAnsi="仿宋_GB2312" w:eastAsia="仿宋_GB2312" w:cs="仿宋_GB2312"/>
          <w:sz w:val="28"/>
          <w:highlight w:val="none"/>
        </w:rPr>
        <w:t>》（合建质安〔2025〕</w:t>
      </w:r>
      <w:r>
        <w:rPr>
          <w:rFonts w:hint="default" w:ascii="仿宋_GB2312" w:hAnsi="仿宋_GB2312" w:eastAsia="仿宋_GB2312" w:cs="仿宋_GB2312"/>
          <w:sz w:val="28"/>
          <w:highlight w:val="none"/>
        </w:rPr>
        <w:t>5号</w:t>
      </w:r>
      <w:r>
        <w:rPr>
          <w:rFonts w:ascii="仿宋_GB2312" w:hAnsi="仿宋_GB2312" w:eastAsia="仿宋_GB2312" w:cs="仿宋_GB2312"/>
          <w:sz w:val="28"/>
          <w:highlight w:val="none"/>
        </w:rPr>
        <w:t>文）</w:t>
      </w:r>
      <w:r>
        <w:rPr>
          <w:rFonts w:ascii="仿宋_GB2312" w:hAnsi="仿宋_GB2312" w:eastAsia="仿宋_GB2312" w:cs="仿宋_GB2312"/>
          <w:sz w:val="28"/>
          <w:highlight w:val="none"/>
        </w:rPr>
        <w:fldChar w:fldCharType="end"/>
      </w:r>
      <w:r>
        <w:rPr>
          <w:rFonts w:ascii="仿宋_GB2312" w:hAnsi="仿宋_GB2312" w:eastAsia="仿宋_GB2312" w:cs="仿宋_GB2312"/>
          <w:sz w:val="28"/>
          <w:highlight w:val="none"/>
        </w:rPr>
        <w:t>。</w:t>
      </w:r>
    </w:p>
    <w:p>
      <w:pPr>
        <w:spacing w:line="600" w:lineRule="exact"/>
        <w:ind w:firstLine="560" w:firstLineChars="200"/>
        <w:rPr>
          <w:rFonts w:hint="default" w:ascii="仿宋_GB2312" w:hAnsi="仿宋_GB2312" w:eastAsia="仿宋_GB2312" w:cs="仿宋_GB2312"/>
          <w:sz w:val="28"/>
          <w:highlight w:val="none"/>
          <w:lang w:val="en-US" w:eastAsia="zh-CN"/>
        </w:rPr>
      </w:pPr>
      <w:r>
        <w:rPr>
          <w:rFonts w:hint="eastAsia" w:ascii="仿宋_GB2312" w:hAnsi="仿宋_GB2312" w:eastAsia="仿宋_GB2312" w:cs="仿宋_GB2312"/>
          <w:sz w:val="28"/>
          <w:highlight w:val="none"/>
          <w:lang w:val="en-US" w:eastAsia="zh-CN"/>
        </w:rPr>
        <w:t>14、乙方需无条件执行包括但不限于以上所列的合肥热电集团有限公司其他安全生产相关文件要求。</w:t>
      </w:r>
    </w:p>
    <w:p>
      <w:pPr>
        <w:pStyle w:val="2"/>
        <w:rPr>
          <w:rFonts w:hint="default"/>
        </w:rPr>
      </w:pP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三、乙方违约责任</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1、乙方管理不当、野蛮施工造成安全事故，乙方负全部安全责任。</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2、未经甲方许可而造成甲方公用设施损坏的事件，对由此而导致甲方经济损失的由乙方负责赔偿。</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甲方安全管理人员有权对施工建设过程进行安全督查。对出现危及人身和设备安全的紧急情况，有权命令乙方停止施工，在制定相应整改措施确认合格后方可复工；乙方发生违反安全协议事件时甲方有权对乙方做出经济处罚。下文中的“以上”、“以下”均为（包含）关系。</w:t>
      </w:r>
    </w:p>
    <w:p>
      <w:pPr>
        <w:spacing w:line="600" w:lineRule="exact"/>
        <w:ind w:firstLine="560" w:firstLineChars="200"/>
        <w:rPr>
          <w:rFonts w:hint="default" w:ascii="仿宋_GB2312" w:hAnsi="仿宋_GB2312" w:eastAsia="仿宋_GB2312" w:cs="仿宋_GB2312"/>
          <w:strike/>
          <w:sz w:val="28"/>
          <w:highlight w:val="none"/>
        </w:rPr>
      </w:pPr>
      <w:r>
        <w:rPr>
          <w:rFonts w:ascii="仿宋_GB2312" w:hAnsi="仿宋_GB2312" w:eastAsia="仿宋_GB2312" w:cs="仿宋_GB2312"/>
          <w:sz w:val="28"/>
        </w:rPr>
        <w:t>3.1乙方违约处</w:t>
      </w:r>
      <w:r>
        <w:rPr>
          <w:rFonts w:ascii="仿宋_GB2312" w:hAnsi="仿宋_GB2312" w:eastAsia="仿宋_GB2312" w:cs="仿宋_GB2312"/>
          <w:sz w:val="28"/>
          <w:highlight w:val="none"/>
        </w:rPr>
        <w:t>罚标准参照合肥热电集团有限公司《工程安全管理大提升清单》（后附）中的施工单位处罚标准执行。</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3.2安全检查中发现的安全隐患未整改或未按时整改的，每一个隐患处一千元以上两千元以下罚款，并且甲方有权停止乙方施工；</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3.3对于甲方和上级部门下发的文件或制度未落实或落实不到位的，一次处一千元以上两千元以下罚款；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3.4对于一个隐患频繁出现（累积≥3次，如在3次安全检查中，氧气乙炔瓶均未保持安全距离），从第三次出现开始罚款五千元，每多一次增加一千元罚款，此罚款与3.4可叠加。</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3.5出现不服从安全管理事件的，一次处一千元以上三千元以下罚款；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3.6出现一般安全事故造成经济损失的，按照法律法规处理，同时给予三千元以上一万元以下罚款；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3.7出现行人或其他工程无关人员受伤，使得甲方名誉或经济受损的，一次处一万元以上十万元以下罚款；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3.8出现安全事故造成人身伤害的，按照法律法规处理，同时给予一万以上十万元以下罚款；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3.9瞒报安全事故，一次处五万元以上十万元以下罚款；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3.10乙方若在施工中出现其他特殊情况，乙方应立即上报甲方，并附上处理意见，如未上报，一次处一万元以上十万元以下罚款。</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四、其他</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4.1该协议一式</w:t>
      </w:r>
      <w:r>
        <w:rPr>
          <w:rFonts w:ascii="仿宋_GB2312" w:hAnsi="仿宋_GB2312" w:eastAsia="仿宋_GB2312" w:cs="仿宋_GB2312"/>
          <w:sz w:val="28"/>
          <w:u w:val="single"/>
        </w:rPr>
        <w:t xml:space="preserve">   </w:t>
      </w:r>
      <w:r>
        <w:rPr>
          <w:rFonts w:ascii="仿宋_GB2312" w:hAnsi="仿宋_GB2312" w:eastAsia="仿宋_GB2312" w:cs="仿宋_GB2312"/>
          <w:sz w:val="28"/>
        </w:rPr>
        <w:t>份，乙方、甲方安全监督部门各存留一份。本协议自签字日起至工程保质期结束之日有效。</w:t>
      </w:r>
    </w:p>
    <w:p>
      <w:pPr>
        <w:spacing w:line="600" w:lineRule="exact"/>
        <w:ind w:firstLine="560" w:firstLineChars="200"/>
        <w:rPr>
          <w:rFonts w:ascii="仿宋_GB2312" w:hAnsi="仿宋_GB2312" w:eastAsia="仿宋_GB2312" w:cs="仿宋_GB2312"/>
          <w:sz w:val="28"/>
        </w:rPr>
      </w:pPr>
      <w:r>
        <w:rPr>
          <w:rFonts w:ascii="仿宋_GB2312" w:hAnsi="仿宋_GB2312" w:eastAsia="仿宋_GB2312" w:cs="仿宋_GB2312"/>
          <w:sz w:val="28"/>
        </w:rPr>
        <w:t>4.2因履行本协议产生之争议，甲方所在地人民法院享有管辖权。</w:t>
      </w:r>
    </w:p>
    <w:p>
      <w:pPr>
        <w:spacing w:line="600" w:lineRule="exact"/>
        <w:ind w:firstLine="560" w:firstLineChars="200"/>
        <w:rPr>
          <w:rFonts w:ascii="仿宋_GB2312" w:hAnsi="仿宋_GB2312" w:eastAsia="仿宋_GB2312" w:cs="仿宋_GB2312"/>
          <w:sz w:val="28"/>
        </w:rPr>
      </w:pPr>
    </w:p>
    <w:p>
      <w:pPr>
        <w:tabs>
          <w:tab w:val="left" w:pos="2310"/>
        </w:tabs>
        <w:spacing w:line="600" w:lineRule="exact"/>
        <w:rPr>
          <w:rFonts w:ascii="仿宋_GB2312" w:hAnsi="仿宋_GB2312" w:eastAsia="仿宋_GB2312" w:cs="仿宋_GB2312"/>
          <w:b/>
          <w:spacing w:val="-22"/>
          <w:sz w:val="28"/>
        </w:rPr>
      </w:pPr>
      <w:r>
        <w:rPr>
          <w:rFonts w:ascii="仿宋_GB2312" w:hAnsi="仿宋_GB2312" w:eastAsia="仿宋_GB2312" w:cs="仿宋_GB2312"/>
          <w:b/>
          <w:spacing w:val="-22"/>
          <w:sz w:val="28"/>
        </w:rPr>
        <w:t>甲方（公章）：</w:t>
      </w:r>
      <w:r>
        <w:rPr>
          <w:rFonts w:ascii="仿宋_GB2312" w:hAnsi="仿宋_GB2312" w:eastAsia="仿宋_GB2312" w:cs="仿宋_GB2312"/>
          <w:b/>
          <w:sz w:val="28"/>
        </w:rPr>
        <w:t xml:space="preserve">                      乙方（公章）：</w:t>
      </w:r>
    </w:p>
    <w:p>
      <w:pPr>
        <w:tabs>
          <w:tab w:val="left" w:pos="4620"/>
          <w:tab w:val="left" w:pos="4830"/>
        </w:tabs>
        <w:spacing w:line="600" w:lineRule="exact"/>
        <w:rPr>
          <w:rFonts w:ascii="仿宋_GB2312" w:hAnsi="仿宋_GB2312" w:eastAsia="仿宋_GB2312" w:cs="仿宋_GB2312"/>
          <w:b/>
          <w:sz w:val="28"/>
        </w:rPr>
      </w:pPr>
      <w:r>
        <w:rPr>
          <w:rFonts w:ascii="仿宋_GB2312" w:hAnsi="仿宋_GB2312" w:eastAsia="仿宋_GB2312" w:cs="仿宋_GB2312"/>
          <w:b/>
          <w:sz w:val="28"/>
        </w:rPr>
        <w:t>法定代表人（签字）：              法定代表人（签字）：</w:t>
      </w:r>
    </w:p>
    <w:p>
      <w:pPr>
        <w:spacing w:line="600" w:lineRule="exact"/>
        <w:rPr>
          <w:rFonts w:ascii="仿宋_GB2312" w:hAnsi="仿宋_GB2312" w:eastAsia="仿宋_GB2312" w:cs="仿宋_GB2312"/>
          <w:b/>
          <w:sz w:val="28"/>
        </w:rPr>
      </w:pPr>
      <w:r>
        <w:rPr>
          <w:rFonts w:ascii="仿宋_GB2312" w:hAnsi="仿宋_GB2312" w:eastAsia="仿宋_GB2312" w:cs="仿宋_GB2312"/>
          <w:b/>
          <w:sz w:val="28"/>
        </w:rPr>
        <w:t>或委托代理人（签字）：            或委托代理人（签字）：</w:t>
      </w:r>
    </w:p>
    <w:p>
      <w:pPr>
        <w:tabs>
          <w:tab w:val="left" w:pos="4725"/>
        </w:tabs>
        <w:spacing w:line="600" w:lineRule="exact"/>
        <w:rPr>
          <w:rFonts w:hint="default"/>
          <w:b/>
          <w:snapToGrid w:val="0"/>
          <w:kern w:val="0"/>
          <w:sz w:val="28"/>
          <w:szCs w:val="28"/>
        </w:rPr>
      </w:pPr>
      <w:r>
        <w:rPr>
          <w:rFonts w:ascii="仿宋_GB2312" w:hAnsi="仿宋_GB2312" w:eastAsia="仿宋_GB2312" w:cs="仿宋_GB2312"/>
          <w:b/>
          <w:sz w:val="28"/>
        </w:rPr>
        <w:t>20  年  月  日                    20  年  月  日</w:t>
      </w:r>
    </w:p>
    <w:p>
      <w:pPr>
        <w:widowControl/>
        <w:jc w:val="left"/>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CFF144-D4E4-46F9-B997-FEFAF37FE7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0FA5A47C-A862-4140-8DF4-127F32DA2E59}"/>
  </w:font>
  <w:font w:name="幼圆">
    <w:panose1 w:val="02010509060101010101"/>
    <w:charset w:val="86"/>
    <w:family w:val="modern"/>
    <w:pitch w:val="default"/>
    <w:sig w:usb0="00000001" w:usb1="080E0000" w:usb2="00000000" w:usb3="00000000" w:csb0="00040000" w:csb1="00000000"/>
    <w:embedRegular r:id="rId3" w:fontKey="{392D8CF5-0E3F-4A3C-B9A9-F410C9ADBDD8}"/>
  </w:font>
  <w:font w:name="仿宋_GB2312">
    <w:panose1 w:val="02010609030101010101"/>
    <w:charset w:val="86"/>
    <w:family w:val="modern"/>
    <w:pitch w:val="default"/>
    <w:sig w:usb0="00000001" w:usb1="080E0000" w:usb2="00000000" w:usb3="00000000" w:csb0="00040000" w:csb1="00000000"/>
    <w:embedRegular r:id="rId4" w:fontKey="{AC59F355-AB08-42D3-9D55-A223784065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center"/>
      <w:rPr>
        <w:rFonts w:hint="default"/>
      </w:rPr>
    </w:pPr>
    <w:r>
      <w:rPr>
        <w:rFonts w:eastAsia="宋体"/>
        <w:szCs w:val="21"/>
      </w:rPr>
      <w:t xml:space="preserve">第 </w:t>
    </w:r>
    <w:r>
      <w:rPr>
        <w:szCs w:val="21"/>
      </w:rPr>
      <w:fldChar w:fldCharType="begin"/>
    </w:r>
    <w:r>
      <w:rPr>
        <w:szCs w:val="21"/>
      </w:rPr>
      <w:instrText xml:space="preserve"> PAGE </w:instrText>
    </w:r>
    <w:r>
      <w:rPr>
        <w:szCs w:val="21"/>
      </w:rPr>
      <w:fldChar w:fldCharType="separate"/>
    </w:r>
    <w:r>
      <w:rPr>
        <w:szCs w:val="21"/>
      </w:rPr>
      <w:t>7</w:t>
    </w:r>
    <w:r>
      <w:rPr>
        <w:szCs w:val="21"/>
      </w:rPr>
      <w:fldChar w:fldCharType="end"/>
    </w:r>
    <w:r>
      <w:rPr>
        <w:rFonts w:eastAsia="宋体"/>
        <w:szCs w:val="21"/>
      </w:rPr>
      <w:t xml:space="preserve"> 页 共 </w:t>
    </w:r>
    <w:r>
      <w:rPr>
        <w:szCs w:val="21"/>
      </w:rPr>
      <w:fldChar w:fldCharType="begin"/>
    </w:r>
    <w:r>
      <w:rPr>
        <w:szCs w:val="21"/>
      </w:rPr>
      <w:instrText xml:space="preserve"> NUMPAGES </w:instrText>
    </w:r>
    <w:r>
      <w:rPr>
        <w:szCs w:val="21"/>
      </w:rPr>
      <w:fldChar w:fldCharType="separate"/>
    </w:r>
    <w:r>
      <w:rPr>
        <w:szCs w:val="21"/>
      </w:rPr>
      <w:t>7</w:t>
    </w:r>
    <w:r>
      <w:rPr>
        <w:szCs w:val="21"/>
      </w:rPr>
      <w:fldChar w:fldCharType="end"/>
    </w:r>
    <w:r>
      <w:rPr>
        <w:rFonts w:eastAsia="宋体"/>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xNGFlNDM1YzcyNDY4N2RlNGRlOTE5MTdlYjc4ODEifQ=="/>
  </w:docVars>
  <w:rsids>
    <w:rsidRoot w:val="00970D21"/>
    <w:rsid w:val="004068C0"/>
    <w:rsid w:val="00545829"/>
    <w:rsid w:val="005651E7"/>
    <w:rsid w:val="007B5545"/>
    <w:rsid w:val="00970D21"/>
    <w:rsid w:val="009B1A04"/>
    <w:rsid w:val="00BC39CE"/>
    <w:rsid w:val="00D62CFB"/>
    <w:rsid w:val="00E55913"/>
    <w:rsid w:val="00F26EB7"/>
    <w:rsid w:val="00F30A63"/>
    <w:rsid w:val="00F779F7"/>
    <w:rsid w:val="072F7455"/>
    <w:rsid w:val="20536AB2"/>
    <w:rsid w:val="2A2454F3"/>
    <w:rsid w:val="39597DE5"/>
    <w:rsid w:val="3AD66EB0"/>
    <w:rsid w:val="3F382246"/>
    <w:rsid w:val="409D340E"/>
    <w:rsid w:val="4C6E5C36"/>
    <w:rsid w:val="56EF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styleId="3">
    <w:name w:val="heading 1"/>
    <w:basedOn w:val="1"/>
    <w:next w:val="1"/>
    <w:link w:val="20"/>
    <w:qFormat/>
    <w:uiPriority w:val="9"/>
    <w:pPr>
      <w:keepNext/>
      <w:keepLines/>
      <w:spacing w:before="480" w:after="80" w:line="278" w:lineRule="auto"/>
      <w:jc w:val="left"/>
      <w:outlineLvl w:val="0"/>
    </w:pPr>
    <w:rPr>
      <w:rFonts w:hint="default" w:asciiTheme="majorHAnsi" w:hAnsiTheme="majorHAnsi" w:eastAsiaTheme="majorEastAsia" w:cstheme="majorBidi"/>
      <w:color w:val="104862" w:themeColor="accent1" w:themeShade="BF"/>
      <w:sz w:val="48"/>
      <w:szCs w:val="48"/>
      <w14:ligatures w14:val="standardContextual"/>
    </w:rPr>
  </w:style>
  <w:style w:type="paragraph" w:styleId="4">
    <w:name w:val="heading 2"/>
    <w:basedOn w:val="1"/>
    <w:next w:val="1"/>
    <w:link w:val="21"/>
    <w:semiHidden/>
    <w:unhideWhenUsed/>
    <w:qFormat/>
    <w:uiPriority w:val="9"/>
    <w:pPr>
      <w:keepNext/>
      <w:keepLines/>
      <w:spacing w:before="160" w:after="80" w:line="278" w:lineRule="auto"/>
      <w:jc w:val="left"/>
      <w:outlineLvl w:val="1"/>
    </w:pPr>
    <w:rPr>
      <w:rFonts w:hint="default" w:asciiTheme="majorHAnsi" w:hAnsiTheme="majorHAnsi" w:eastAsiaTheme="majorEastAsia" w:cstheme="majorBidi"/>
      <w:color w:val="104862" w:themeColor="accent1" w:themeShade="BF"/>
      <w:sz w:val="40"/>
      <w:szCs w:val="40"/>
      <w14:ligatures w14:val="standardContextual"/>
    </w:rPr>
  </w:style>
  <w:style w:type="paragraph" w:styleId="5">
    <w:name w:val="heading 3"/>
    <w:basedOn w:val="1"/>
    <w:next w:val="1"/>
    <w:link w:val="22"/>
    <w:autoRedefine/>
    <w:semiHidden/>
    <w:unhideWhenUsed/>
    <w:qFormat/>
    <w:uiPriority w:val="9"/>
    <w:pPr>
      <w:keepNext/>
      <w:keepLines/>
      <w:spacing w:before="160" w:after="80" w:line="278" w:lineRule="auto"/>
      <w:jc w:val="left"/>
      <w:outlineLvl w:val="2"/>
    </w:pPr>
    <w:rPr>
      <w:rFonts w:hint="default" w:asciiTheme="majorHAnsi" w:hAnsiTheme="majorHAnsi" w:eastAsiaTheme="majorEastAsia" w:cstheme="majorBidi"/>
      <w:color w:val="104862" w:themeColor="accent1" w:themeShade="BF"/>
      <w:sz w:val="32"/>
      <w:szCs w:val="32"/>
      <w14:ligatures w14:val="standardContextual"/>
    </w:rPr>
  </w:style>
  <w:style w:type="paragraph" w:styleId="6">
    <w:name w:val="heading 4"/>
    <w:basedOn w:val="1"/>
    <w:next w:val="1"/>
    <w:link w:val="23"/>
    <w:semiHidden/>
    <w:unhideWhenUsed/>
    <w:qFormat/>
    <w:uiPriority w:val="9"/>
    <w:pPr>
      <w:keepNext/>
      <w:keepLines/>
      <w:spacing w:before="80" w:after="40" w:line="278" w:lineRule="auto"/>
      <w:jc w:val="left"/>
      <w:outlineLvl w:val="3"/>
    </w:pPr>
    <w:rPr>
      <w:rFonts w:hint="default" w:asciiTheme="minorHAnsi" w:hAnsiTheme="minorHAnsi" w:eastAsiaTheme="minorEastAsia" w:cstheme="majorBidi"/>
      <w:color w:val="104862" w:themeColor="accent1" w:themeShade="BF"/>
      <w:sz w:val="28"/>
      <w:szCs w:val="28"/>
      <w14:ligatures w14:val="standardContextual"/>
    </w:rPr>
  </w:style>
  <w:style w:type="paragraph" w:styleId="7">
    <w:name w:val="heading 5"/>
    <w:basedOn w:val="1"/>
    <w:next w:val="1"/>
    <w:link w:val="24"/>
    <w:autoRedefine/>
    <w:semiHidden/>
    <w:unhideWhenUsed/>
    <w:qFormat/>
    <w:uiPriority w:val="9"/>
    <w:pPr>
      <w:keepNext/>
      <w:keepLines/>
      <w:spacing w:before="80" w:after="40" w:line="278" w:lineRule="auto"/>
      <w:jc w:val="left"/>
      <w:outlineLvl w:val="4"/>
    </w:pPr>
    <w:rPr>
      <w:rFonts w:hint="default" w:asciiTheme="minorHAnsi" w:hAnsiTheme="minorHAnsi" w:eastAsiaTheme="minorEastAsia" w:cstheme="majorBidi"/>
      <w:color w:val="104862" w:themeColor="accent1" w:themeShade="BF"/>
      <w:sz w:val="24"/>
      <w:szCs w:val="24"/>
      <w14:ligatures w14:val="standardContextual"/>
    </w:rPr>
  </w:style>
  <w:style w:type="paragraph" w:styleId="8">
    <w:name w:val="heading 6"/>
    <w:basedOn w:val="1"/>
    <w:next w:val="1"/>
    <w:link w:val="25"/>
    <w:autoRedefine/>
    <w:semiHidden/>
    <w:unhideWhenUsed/>
    <w:qFormat/>
    <w:uiPriority w:val="9"/>
    <w:pPr>
      <w:keepNext/>
      <w:keepLines/>
      <w:spacing w:before="40" w:line="278" w:lineRule="auto"/>
      <w:jc w:val="left"/>
      <w:outlineLvl w:val="5"/>
    </w:pPr>
    <w:rPr>
      <w:rFonts w:hint="default" w:asciiTheme="minorHAnsi" w:hAnsiTheme="minorHAnsi" w:eastAsiaTheme="minorEastAsia" w:cstheme="majorBidi"/>
      <w:b/>
      <w:bCs/>
      <w:color w:val="104862" w:themeColor="accent1" w:themeShade="BF"/>
      <w:sz w:val="22"/>
      <w:szCs w:val="24"/>
      <w14:ligatures w14:val="standardContextual"/>
    </w:rPr>
  </w:style>
  <w:style w:type="paragraph" w:styleId="9">
    <w:name w:val="heading 7"/>
    <w:basedOn w:val="1"/>
    <w:next w:val="1"/>
    <w:link w:val="26"/>
    <w:autoRedefine/>
    <w:semiHidden/>
    <w:unhideWhenUsed/>
    <w:qFormat/>
    <w:uiPriority w:val="9"/>
    <w:pPr>
      <w:keepNext/>
      <w:keepLines/>
      <w:spacing w:before="40" w:line="278" w:lineRule="auto"/>
      <w:jc w:val="left"/>
      <w:outlineLvl w:val="6"/>
    </w:pPr>
    <w:rPr>
      <w:rFonts w:hint="default" w:asciiTheme="minorHAnsi" w:hAnsiTheme="minorHAnsi" w:eastAsiaTheme="minorEastAsia"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8"/>
    <w:basedOn w:val="1"/>
    <w:next w:val="1"/>
    <w:link w:val="27"/>
    <w:autoRedefine/>
    <w:semiHidden/>
    <w:unhideWhenUsed/>
    <w:qFormat/>
    <w:uiPriority w:val="9"/>
    <w:pPr>
      <w:keepNext/>
      <w:keepLines/>
      <w:spacing w:line="278" w:lineRule="auto"/>
      <w:jc w:val="left"/>
      <w:outlineLvl w:val="7"/>
    </w:pPr>
    <w:rPr>
      <w:rFonts w:hint="default" w:asciiTheme="minorHAnsi" w:hAnsiTheme="minorHAnsi" w:eastAsiaTheme="min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1">
    <w:name w:val="heading 9"/>
    <w:basedOn w:val="1"/>
    <w:next w:val="1"/>
    <w:link w:val="28"/>
    <w:autoRedefine/>
    <w:semiHidden/>
    <w:unhideWhenUsed/>
    <w:qFormat/>
    <w:uiPriority w:val="9"/>
    <w:pPr>
      <w:keepNext/>
      <w:keepLines/>
      <w:spacing w:line="278" w:lineRule="auto"/>
      <w:jc w:val="left"/>
      <w:outlineLvl w:val="8"/>
    </w:pPr>
    <w:rPr>
      <w:rFonts w:hint="default" w:asciiTheme="minorHAnsi" w:hAnsiTheme="minorHAnsi"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7">
    <w:name w:val="Default Paragraph Font"/>
    <w:autoRedefine/>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39"/>
    <w:autoRedefine/>
    <w:semiHidden/>
    <w:unhideWhenUsed/>
    <w:uiPriority w:val="99"/>
    <w:rPr>
      <w:rFonts w:hAnsi="Courier New" w:cs="Courier New" w:asciiTheme="minorEastAsia" w:eastAsiaTheme="minorEastAsia"/>
    </w:rPr>
  </w:style>
  <w:style w:type="paragraph" w:styleId="12">
    <w:name w:val="footer"/>
    <w:basedOn w:val="1"/>
    <w:link w:val="38"/>
    <w:unhideWhenUsed/>
    <w:qFormat/>
    <w:uiPriority w:val="99"/>
    <w:pPr>
      <w:tabs>
        <w:tab w:val="center" w:pos="4153"/>
        <w:tab w:val="right" w:pos="8306"/>
      </w:tabs>
      <w:snapToGrid w:val="0"/>
      <w:jc w:val="left"/>
    </w:pPr>
    <w:rPr>
      <w:kern w:val="0"/>
      <w:sz w:val="18"/>
      <w:szCs w:val="18"/>
    </w:rPr>
  </w:style>
  <w:style w:type="paragraph" w:styleId="13">
    <w:name w:val="Subtitle"/>
    <w:basedOn w:val="1"/>
    <w:next w:val="1"/>
    <w:link w:val="30"/>
    <w:autoRedefine/>
    <w:qFormat/>
    <w:uiPriority w:val="11"/>
    <w:pPr>
      <w:spacing w:after="160" w:line="278" w:lineRule="auto"/>
      <w:jc w:val="center"/>
    </w:pPr>
    <w:rPr>
      <w:rFonts w:hint="default"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Normal (Web)"/>
    <w:basedOn w:val="1"/>
    <w:semiHidden/>
    <w:unhideWhenUsed/>
    <w:qFormat/>
    <w:uiPriority w:val="99"/>
    <w:rPr>
      <w:sz w:val="24"/>
    </w:rPr>
  </w:style>
  <w:style w:type="paragraph" w:styleId="15">
    <w:name w:val="Title"/>
    <w:basedOn w:val="1"/>
    <w:next w:val="1"/>
    <w:link w:val="29"/>
    <w:qFormat/>
    <w:uiPriority w:val="10"/>
    <w:pPr>
      <w:spacing w:after="80"/>
      <w:contextualSpacing/>
      <w:jc w:val="center"/>
    </w:pPr>
    <w:rPr>
      <w:rFonts w:hint="default" w:asciiTheme="majorHAnsi" w:hAnsiTheme="majorHAnsi" w:eastAsiaTheme="majorEastAsia" w:cstheme="majorBidi"/>
      <w:spacing w:val="-10"/>
      <w:kern w:val="28"/>
      <w:sz w:val="56"/>
      <w:szCs w:val="56"/>
      <w14:ligatures w14:val="standardContextual"/>
    </w:rPr>
  </w:style>
  <w:style w:type="character" w:styleId="18">
    <w:name w:val="Strong"/>
    <w:basedOn w:val="17"/>
    <w:qFormat/>
    <w:uiPriority w:val="22"/>
    <w:rPr>
      <w:b/>
    </w:rPr>
  </w:style>
  <w:style w:type="character" w:styleId="19">
    <w:name w:val="Hyperlink"/>
    <w:basedOn w:val="17"/>
    <w:autoRedefine/>
    <w:semiHidden/>
    <w:unhideWhenUsed/>
    <w:qFormat/>
    <w:uiPriority w:val="99"/>
    <w:rPr>
      <w:color w:val="0000FF"/>
      <w:u w:val="single"/>
    </w:rPr>
  </w:style>
  <w:style w:type="character" w:customStyle="1" w:styleId="20">
    <w:name w:val="标题 1 字符"/>
    <w:basedOn w:val="17"/>
    <w:link w:val="3"/>
    <w:autoRedefine/>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7"/>
    <w:link w:val="4"/>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7"/>
    <w:link w:val="5"/>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7"/>
    <w:link w:val="6"/>
    <w:autoRedefine/>
    <w:semiHidden/>
    <w:qFormat/>
    <w:uiPriority w:val="9"/>
    <w:rPr>
      <w:rFonts w:cstheme="majorBidi"/>
      <w:color w:val="104862" w:themeColor="accent1" w:themeShade="BF"/>
      <w:sz w:val="28"/>
      <w:szCs w:val="28"/>
    </w:rPr>
  </w:style>
  <w:style w:type="character" w:customStyle="1" w:styleId="24">
    <w:name w:val="标题 5 字符"/>
    <w:basedOn w:val="17"/>
    <w:link w:val="7"/>
    <w:autoRedefine/>
    <w:semiHidden/>
    <w:qFormat/>
    <w:uiPriority w:val="9"/>
    <w:rPr>
      <w:rFonts w:cstheme="majorBidi"/>
      <w:color w:val="104862" w:themeColor="accent1" w:themeShade="BF"/>
      <w:sz w:val="24"/>
    </w:rPr>
  </w:style>
  <w:style w:type="character" w:customStyle="1" w:styleId="25">
    <w:name w:val="标题 6 字符"/>
    <w:basedOn w:val="17"/>
    <w:link w:val="8"/>
    <w:autoRedefine/>
    <w:semiHidden/>
    <w:qFormat/>
    <w:uiPriority w:val="9"/>
    <w:rPr>
      <w:rFonts w:cstheme="majorBidi"/>
      <w:b/>
      <w:bCs/>
      <w:color w:val="104862" w:themeColor="accent1" w:themeShade="BF"/>
    </w:rPr>
  </w:style>
  <w:style w:type="character" w:customStyle="1" w:styleId="26">
    <w:name w:val="标题 7 字符"/>
    <w:basedOn w:val="17"/>
    <w:link w:val="9"/>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10"/>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1"/>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5"/>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line="278" w:lineRule="auto"/>
      <w:jc w:val="center"/>
    </w:pPr>
    <w:rPr>
      <w:rFonts w:hint="default" w:asciiTheme="minorHAnsi" w:hAnsiTheme="minorHAnsi" w:eastAsiaTheme="minorEastAsia" w:cstheme="minorBidi"/>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spacing w:after="160" w:line="278" w:lineRule="auto"/>
      <w:ind w:left="720"/>
      <w:contextualSpacing/>
      <w:jc w:val="left"/>
    </w:pPr>
    <w:rPr>
      <w:rFonts w:hint="default" w:asciiTheme="minorHAnsi" w:hAnsiTheme="minorHAnsi" w:eastAsiaTheme="minorEastAsia" w:cstheme="minorBidi"/>
      <w:sz w:val="22"/>
      <w:szCs w:val="24"/>
      <w14:ligatures w14:val="standardContextual"/>
    </w:rPr>
  </w:style>
  <w:style w:type="character" w:customStyle="1" w:styleId="34">
    <w:name w:val="明显强调1"/>
    <w:basedOn w:val="17"/>
    <w:autoRedefine/>
    <w:qFormat/>
    <w:uiPriority w:val="21"/>
    <w:rPr>
      <w:i/>
      <w:iCs/>
      <w:color w:val="104862" w:themeColor="accent1" w:themeShade="BF"/>
    </w:rPr>
  </w:style>
  <w:style w:type="paragraph" w:styleId="35">
    <w:name w:val="Intense Quote"/>
    <w:basedOn w:val="1"/>
    <w:next w:val="1"/>
    <w:link w:val="36"/>
    <w:autoRedefine/>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hint="default" w:asciiTheme="minorHAnsi" w:hAnsiTheme="minorHAnsi" w:eastAsiaTheme="minorEastAsia" w:cstheme="minorBidi"/>
      <w:i/>
      <w:iCs/>
      <w:color w:val="104862" w:themeColor="accent1" w:themeShade="BF"/>
      <w:sz w:val="22"/>
      <w:szCs w:val="24"/>
      <w14:ligatures w14:val="standardContextual"/>
    </w:rPr>
  </w:style>
  <w:style w:type="character" w:customStyle="1" w:styleId="36">
    <w:name w:val="明显引用 字符"/>
    <w:basedOn w:val="17"/>
    <w:link w:val="35"/>
    <w:autoRedefine/>
    <w:qFormat/>
    <w:uiPriority w:val="30"/>
    <w:rPr>
      <w:i/>
      <w:iCs/>
      <w:color w:val="104862" w:themeColor="accent1" w:themeShade="BF"/>
    </w:rPr>
  </w:style>
  <w:style w:type="character" w:customStyle="1" w:styleId="37">
    <w:name w:val="明显参考1"/>
    <w:basedOn w:val="17"/>
    <w:autoRedefine/>
    <w:qFormat/>
    <w:uiPriority w:val="32"/>
    <w:rPr>
      <w:b/>
      <w:bCs/>
      <w:smallCaps/>
      <w:color w:val="104862" w:themeColor="accent1" w:themeShade="BF"/>
      <w:spacing w:val="5"/>
    </w:rPr>
  </w:style>
  <w:style w:type="character" w:customStyle="1" w:styleId="38">
    <w:name w:val="页脚 字符"/>
    <w:basedOn w:val="17"/>
    <w:link w:val="12"/>
    <w:autoRedefine/>
    <w:qFormat/>
    <w:uiPriority w:val="99"/>
    <w:rPr>
      <w:rFonts w:ascii="Times New Roman" w:hAnsi="Times New Roman" w:eastAsia="Times New Roman" w:cs="Times New Roman"/>
      <w:kern w:val="0"/>
      <w:sz w:val="18"/>
      <w:szCs w:val="18"/>
      <w14:ligatures w14:val="none"/>
    </w:rPr>
  </w:style>
  <w:style w:type="character" w:customStyle="1" w:styleId="39">
    <w:name w:val="纯文本 字符"/>
    <w:basedOn w:val="17"/>
    <w:link w:val="2"/>
    <w:autoRedefine/>
    <w:semiHidden/>
    <w:qFormat/>
    <w:uiPriority w:val="99"/>
    <w:rPr>
      <w:rFonts w:hAnsi="Courier New" w:cs="Courier New" w:asciiTheme="minorEastAsia"/>
      <w:sz w:val="21"/>
      <w:szCs w:val="22"/>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744</Words>
  <Characters>4244</Characters>
  <Lines>35</Lines>
  <Paragraphs>9</Paragraphs>
  <TotalTime>60</TotalTime>
  <ScaleCrop>false</ScaleCrop>
  <LinksUpToDate>false</LinksUpToDate>
  <CharactersWithSpaces>4979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2025-06-28T10:47:00Z</dcterms:created>
  <dc:creator>峰 潘</dc:creator>
  <cp:lastModifiedBy>David</cp:lastModifiedBy>
  <dcterms:modified xsi:type="dcterms:W3CDTF">2025-07-01T06:41:50Z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eyJoZGlkIjoiYzczNDZlYTBiMmY3Y2Q4ZTM3OGRhN2QwMzUxNWM2YmMiLCJ1c2VySWQiOiI1NDkzMTAxNjUifQ==</vt:lpwstr>
  </property>
  <property fmtid="{D5CDD505-2E9C-101B-9397-08002B2CF9AE}" pid="3" name="KSOProductBuildVer">
    <vt:lpwstr>2052-12.1.0.16250</vt:lpwstr>
  </property>
  <property fmtid="{D5CDD505-2E9C-101B-9397-08002B2CF9AE}" pid="4" name="ICV">
    <vt:lpwstr>E9DB3D7BFC8C4EBCADED1FD32C66D763_13</vt:lpwstr>
  </property>
</Properties>
</file>